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CHAMAMENTO PÚBLICO 32/2026</w:t>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rFonts w:ascii="Arial" w:cs="Arial" w:eastAsia="Arial" w:hAnsi="Arial"/>
        </w:rPr>
      </w:pPr>
      <w:r w:rsidDel="00000000" w:rsidR="00000000" w:rsidRPr="00000000">
        <w:rPr>
          <w:rFonts w:ascii="Arial" w:cs="Arial" w:eastAsia="Arial" w:hAnsi="Arial"/>
          <w:b w:val="1"/>
          <w:bCs w:val="1"/>
          <w:rtl w:val="0"/>
        </w:rPr>
        <w:t xml:space="preserve">REDE MUNICIPAL DE PONTOS DE CULTURA DE CARAGUATATUBA</w:t>
      </w:r>
      <w:r w:rsidDel="00000000" w:rsidR="00000000" w:rsidRPr="00000000">
        <w:rPr>
          <w:rtl w:val="0"/>
        </w:rPr>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CULTURA VIVA DO TAMANHO DO BRASIL!</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 FOMENTO A PROJETOS CONTINUADOS DE PONTOS DE CULTURA</w:t>
      </w:r>
    </w:p>
    <w:p w:rsidR="00000000" w:rsidDel="00000000" w:rsidP="00000000" w:rsidRDefault="00000000" w:rsidRPr="00000000" w14:paraId="00000007">
      <w:pPr>
        <w:shd w:fill="ffffff" w:val="clear"/>
        <w:spacing w:after="0" w:line="240" w:lineRule="auto"/>
        <w:ind w:left="0" w:hanging="2"/>
        <w:jc w:val="center"/>
        <w:rPr>
          <w:rFonts w:ascii="Arial" w:cs="Arial" w:eastAsia="Arial" w:hAnsi="Arial"/>
        </w:rPr>
      </w:pPr>
      <w:r w:rsidDel="00000000" w:rsidR="00000000" w:rsidRPr="00000000">
        <w:rPr>
          <w:rtl w:val="0"/>
        </w:rPr>
      </w:r>
    </w:p>
    <w:p w:rsidR="00000000" w:rsidDel="00000000" w:rsidP="00000000" w:rsidRDefault="00000000" w:rsidRPr="00000000" w14:paraId="00000008">
      <w:pPr>
        <w:tabs>
          <w:tab w:val="center" w:leader="none" w:pos="0"/>
        </w:tabs>
        <w:spacing w:after="120" w:before="120" w:lin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u w:val="single"/>
          <w:rtl w:val="0"/>
        </w:rPr>
        <w:t xml:space="preserve">ANEXO 9 - MINUTA DE TERMO DE COMPROMISSO CULTURAL - PONTO DE CULTURA </w:t>
      </w:r>
      <w:r w:rsidDel="00000000" w:rsidR="00000000" w:rsidRPr="00000000">
        <w:rPr>
          <w:rtl w:val="0"/>
        </w:rPr>
      </w:r>
    </w:p>
    <w:p w:rsidR="00000000" w:rsidDel="00000000" w:rsidP="00000000" w:rsidRDefault="00000000" w:rsidRPr="00000000" w14:paraId="00000009">
      <w:pPr>
        <w:keepNext w:val="1"/>
        <w:spacing w:after="0" w:line="240" w:lineRule="auto"/>
        <w:ind w:left="0" w:hanging="2"/>
        <w:jc w:val="center"/>
        <w:rPr>
          <w:rFonts w:ascii="Arial" w:cs="Arial" w:eastAsia="Arial" w:hAnsi="Arial"/>
        </w:rPr>
      </w:pPr>
      <w:r w:rsidDel="00000000" w:rsidR="00000000" w:rsidRPr="00000000">
        <w:rPr>
          <w:rFonts w:ascii="Arial" w:cs="Arial" w:eastAsia="Arial" w:hAnsi="Arial"/>
          <w:i w:val="1"/>
          <w:iCs w:val="1"/>
          <w:rtl w:val="0"/>
        </w:rPr>
        <w:t xml:space="preserve">(Rubricar todas as páginas)</w:t>
      </w:r>
      <w:r w:rsidDel="00000000" w:rsidR="00000000" w:rsidRPr="00000000">
        <w:rPr>
          <w:rtl w:val="0"/>
        </w:rPr>
      </w:r>
    </w:p>
    <w:p w:rsidR="00000000" w:rsidDel="00000000" w:rsidP="00000000" w:rsidRDefault="00000000" w:rsidRPr="00000000" w14:paraId="0000000A">
      <w:pPr>
        <w:spacing w:after="120" w:before="12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0B">
      <w:pP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TERMO DE COMPROMISSO CULTURAL Nº XX/2026</w:t>
      </w:r>
    </w:p>
    <w:tbl>
      <w:tblPr>
        <w:tblStyle w:val="Table1"/>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0C">
            <w:pPr>
              <w:spacing w:after="120" w:before="120" w:line="240" w:lineRule="auto"/>
              <w:ind w:left="0" w:hanging="2"/>
              <w:jc w:val="both"/>
              <w:rPr>
                <w:rFonts w:ascii="Arial" w:cs="Arial" w:eastAsia="Arial" w:hAnsi="Arial"/>
                <w:b w:val="1"/>
                <w:bCs w:val="1"/>
                <w:shd w:fill="b7b7b7" w:val="clear"/>
              </w:rPr>
            </w:pPr>
            <w:r w:rsidDel="00000000" w:rsidR="00000000" w:rsidRPr="00000000">
              <w:rPr>
                <w:rFonts w:ascii="Arial" w:cs="Arial" w:eastAsia="Arial" w:hAnsi="Arial"/>
                <w:b w:val="1"/>
                <w:bCs w:val="1"/>
                <w:rtl w:val="0"/>
              </w:rPr>
              <w:t xml:space="preserve">1.</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FINALIDADE</w:t>
            </w:r>
            <w:r w:rsidDel="00000000" w:rsidR="00000000" w:rsidRPr="00000000">
              <w:rPr>
                <w:rtl w:val="0"/>
              </w:rPr>
            </w:r>
          </w:p>
        </w:tc>
      </w:tr>
      <w:tr>
        <w:trPr>
          <w:cantSplit w:val="0"/>
          <w:trHeight w:val="163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0D">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O município de Caraguatatuba, representado pela Fundação Educacional e Cultural de Caraguatatuba - Fundacc e a ENTIDADE CULTURAL celebram o presente TERMO DE COMPROMISSO CULTURAL - TCC, com a finalidade de executar Projeto Cultural, nos termos do Plano de Trabalho anexo, para implementação da Política Nacional de Cultura Viva – PNCV, mediante as condições estipuladas em suas Cláusulas, nos termos da </w:t>
            </w:r>
            <w:hyperlink r:id="rId7">
              <w:r w:rsidDel="00000000" w:rsidR="00000000" w:rsidRPr="00000000">
                <w:rPr>
                  <w:rFonts w:ascii="Arial" w:cs="Arial" w:eastAsia="Arial" w:hAnsi="Arial"/>
                  <w:u w:val="single"/>
                  <w:rtl w:val="0"/>
                </w:rPr>
                <w:t xml:space="preserve">Lei nº 14.399/2022</w:t>
              </w:r>
            </w:hyperlink>
            <w:r w:rsidDel="00000000" w:rsidR="00000000" w:rsidRPr="00000000">
              <w:rPr>
                <w:rFonts w:ascii="Arial" w:cs="Arial" w:eastAsia="Arial" w:hAnsi="Arial"/>
                <w:rtl w:val="0"/>
              </w:rPr>
              <w:t xml:space="preserve"> (Política Nacional Aldir Blanc), no</w:t>
            </w:r>
            <w:hyperlink r:id="rId8">
              <w:r w:rsidDel="00000000" w:rsidR="00000000" w:rsidRPr="00000000">
                <w:rPr>
                  <w:rFonts w:ascii="Arial" w:cs="Arial" w:eastAsia="Arial" w:hAnsi="Arial"/>
                  <w:rtl w:val="0"/>
                </w:rPr>
                <w:t xml:space="preserve"> </w:t>
              </w:r>
            </w:hyperlink>
            <w:hyperlink r:id="rId9">
              <w:r w:rsidDel="00000000" w:rsidR="00000000" w:rsidRPr="00000000">
                <w:rPr>
                  <w:rFonts w:ascii="Arial" w:cs="Arial" w:eastAsia="Arial" w:hAnsi="Arial"/>
                  <w:u w:val="single"/>
                  <w:rtl w:val="0"/>
                </w:rPr>
                <w:t xml:space="preserve">Decreto nº 11.740/2023</w:t>
              </w:r>
            </w:hyperlink>
            <w:r w:rsidDel="00000000" w:rsidR="00000000" w:rsidRPr="00000000">
              <w:rPr>
                <w:rFonts w:ascii="Arial" w:cs="Arial" w:eastAsia="Arial" w:hAnsi="Arial"/>
                <w:rtl w:val="0"/>
              </w:rPr>
              <w:t xml:space="preserve">, </w:t>
            </w:r>
            <w:hyperlink r:id="rId10">
              <w:r w:rsidDel="00000000" w:rsidR="00000000" w:rsidRPr="00000000">
                <w:rPr>
                  <w:rFonts w:ascii="Arial" w:cs="Arial" w:eastAsia="Arial" w:hAnsi="Arial"/>
                  <w:u w:val="single"/>
                  <w:rtl w:val="0"/>
                </w:rPr>
                <w:t xml:space="preserve">Portaria MinC nº 200/2025</w:t>
              </w:r>
            </w:hyperlink>
            <w:hyperlink r:id="rId11">
              <w:r w:rsidDel="00000000" w:rsidR="00000000" w:rsidRPr="00000000">
                <w:rPr>
                  <w:rFonts w:ascii="Arial" w:cs="Arial" w:eastAsia="Arial" w:hAnsi="Arial"/>
                  <w:rtl w:val="0"/>
                </w:rPr>
                <w:t xml:space="preserve">, </w:t>
              </w:r>
            </w:hyperlink>
            <w:hyperlink r:id="rId12">
              <w:r w:rsidDel="00000000" w:rsidR="00000000" w:rsidRPr="00000000">
                <w:rPr>
                  <w:rFonts w:ascii="Arial" w:cs="Arial" w:eastAsia="Arial" w:hAnsi="Arial"/>
                  <w:u w:val="single"/>
                  <w:rtl w:val="0"/>
                </w:rPr>
                <w:t xml:space="preserve">Portaria MinC nº 206/2025</w:t>
              </w:r>
            </w:hyperlink>
            <w:hyperlink r:id="rId13">
              <w:r w:rsidDel="00000000" w:rsidR="00000000" w:rsidRPr="00000000">
                <w:rPr>
                  <w:rFonts w:ascii="Arial" w:cs="Arial" w:eastAsia="Arial" w:hAnsi="Arial"/>
                  <w:rtl w:val="0"/>
                </w:rPr>
                <w:t xml:space="preserve"> </w:t>
              </w:r>
            </w:hyperlink>
            <w:r w:rsidDel="00000000" w:rsidR="00000000" w:rsidRPr="00000000">
              <w:rPr>
                <w:rFonts w:ascii="Arial" w:cs="Arial" w:eastAsia="Arial" w:hAnsi="Arial"/>
                <w:rtl w:val="0"/>
              </w:rPr>
              <w:t xml:space="preserve">(Regulamentam a PNAB), na</w:t>
            </w:r>
            <w:hyperlink r:id="rId14">
              <w:r w:rsidDel="00000000" w:rsidR="00000000" w:rsidRPr="00000000">
                <w:rPr>
                  <w:rFonts w:ascii="Arial" w:cs="Arial" w:eastAsia="Arial" w:hAnsi="Arial"/>
                  <w:rtl w:val="0"/>
                </w:rPr>
                <w:t xml:space="preserve"> </w:t>
              </w:r>
            </w:hyperlink>
            <w:hyperlink r:id="rId15">
              <w:r w:rsidDel="00000000" w:rsidR="00000000" w:rsidRPr="00000000">
                <w:rPr>
                  <w:rFonts w:ascii="Arial" w:cs="Arial" w:eastAsia="Arial" w:hAnsi="Arial"/>
                  <w:u w:val="single"/>
                  <w:rtl w:val="0"/>
                </w:rPr>
                <w:t xml:space="preserve">Lei nº 13.018/2014</w:t>
              </w:r>
            </w:hyperlink>
            <w:r w:rsidDel="00000000" w:rsidR="00000000" w:rsidRPr="00000000">
              <w:rPr>
                <w:rFonts w:ascii="Arial" w:cs="Arial" w:eastAsia="Arial" w:hAnsi="Arial"/>
                <w:rtl w:val="0"/>
              </w:rPr>
              <w:t xml:space="preserve"> (Política Nacional de Cultura Viva), na</w:t>
            </w:r>
            <w:hyperlink r:id="rId16">
              <w:r w:rsidDel="00000000" w:rsidR="00000000" w:rsidRPr="00000000">
                <w:rPr>
                  <w:rFonts w:ascii="Arial" w:cs="Arial" w:eastAsia="Arial" w:hAnsi="Arial"/>
                  <w:rtl w:val="0"/>
                </w:rPr>
                <w:t xml:space="preserve"> </w:t>
              </w:r>
            </w:hyperlink>
            <w:hyperlink r:id="rId17">
              <w:r w:rsidDel="00000000" w:rsidR="00000000" w:rsidRPr="00000000">
                <w:rPr>
                  <w:rFonts w:ascii="Arial" w:cs="Arial" w:eastAsia="Arial" w:hAnsi="Arial"/>
                  <w:u w:val="single"/>
                  <w:rtl w:val="0"/>
                </w:rPr>
                <w:t xml:space="preserve">Instrução Normativa MinC nº 1/2015</w:t>
              </w:r>
            </w:hyperlink>
            <w:r w:rsidDel="00000000" w:rsidR="00000000" w:rsidRPr="00000000">
              <w:rPr>
                <w:rFonts w:ascii="Arial" w:cs="Arial" w:eastAsia="Arial" w:hAnsi="Arial"/>
                <w:rtl w:val="0"/>
              </w:rPr>
              <w:t xml:space="preserve">, e na</w:t>
            </w:r>
            <w:hyperlink r:id="rId18">
              <w:r w:rsidDel="00000000" w:rsidR="00000000" w:rsidRPr="00000000">
                <w:rPr>
                  <w:rFonts w:ascii="Arial" w:cs="Arial" w:eastAsia="Arial" w:hAnsi="Arial"/>
                  <w:rtl w:val="0"/>
                </w:rPr>
                <w:t xml:space="preserve"> </w:t>
              </w:r>
            </w:hyperlink>
            <w:hyperlink r:id="rId19">
              <w:r w:rsidDel="00000000" w:rsidR="00000000" w:rsidRPr="00000000">
                <w:rPr>
                  <w:rFonts w:ascii="Arial" w:cs="Arial" w:eastAsia="Arial" w:hAnsi="Arial"/>
                  <w:u w:val="single"/>
                  <w:rtl w:val="0"/>
                </w:rPr>
                <w:t xml:space="preserve">Instrução Normativa MINC nº 12/2024</w:t>
              </w:r>
            </w:hyperlink>
            <w:r w:rsidDel="00000000" w:rsidR="00000000" w:rsidRPr="00000000">
              <w:rPr>
                <w:rFonts w:ascii="Arial" w:cs="Arial" w:eastAsia="Arial" w:hAnsi="Arial"/>
                <w:rtl w:val="0"/>
              </w:rPr>
              <w:t xml:space="preserve">, ou em ato normativo correspondente em vigor (Regulamentam a PNCV),  aplicando-se também, no que couber, como complementação em situações não previstas na  Política Nacional de Cultura Viva, o</w:t>
            </w:r>
            <w:hyperlink r:id="rId20">
              <w:r w:rsidDel="00000000" w:rsidR="00000000" w:rsidRPr="00000000">
                <w:rPr>
                  <w:rFonts w:ascii="Arial" w:cs="Arial" w:eastAsia="Arial" w:hAnsi="Arial"/>
                  <w:rtl w:val="0"/>
                </w:rPr>
                <w:t xml:space="preserve"> </w:t>
              </w:r>
            </w:hyperlink>
            <w:hyperlink r:id="rId21">
              <w:r w:rsidDel="00000000" w:rsidR="00000000" w:rsidRPr="00000000">
                <w:rPr>
                  <w:rFonts w:ascii="Arial" w:cs="Arial" w:eastAsia="Arial" w:hAnsi="Arial"/>
                  <w:u w:val="single"/>
                  <w:rtl w:val="0"/>
                </w:rPr>
                <w:t xml:space="preserve">Decreto nº 11.453/2023</w:t>
              </w:r>
            </w:hyperlink>
            <w:r w:rsidDel="00000000" w:rsidR="00000000" w:rsidRPr="00000000">
              <w:rPr>
                <w:rFonts w:ascii="Arial" w:cs="Arial" w:eastAsia="Arial" w:hAnsi="Arial"/>
                <w:rtl w:val="0"/>
              </w:rPr>
              <w:t xml:space="preserve"> (Decreto de Fomento) e o </w:t>
            </w:r>
            <w:hyperlink r:id="rId22">
              <w:r w:rsidDel="00000000" w:rsidR="00000000" w:rsidRPr="00000000">
                <w:rPr>
                  <w:rFonts w:ascii="Arial" w:cs="Arial" w:eastAsia="Arial" w:hAnsi="Arial"/>
                  <w:u w:val="single"/>
                  <w:rtl w:val="0"/>
                </w:rPr>
                <w:t xml:space="preserve">Marco Regulatório do Fomento à Cultura nº 14.903/2024</w:t>
              </w:r>
            </w:hyperlink>
            <w:r w:rsidDel="00000000" w:rsidR="00000000" w:rsidRPr="00000000">
              <w:rPr>
                <w:rFonts w:ascii="Arial" w:cs="Arial" w:eastAsia="Arial" w:hAnsi="Arial"/>
                <w:rtl w:val="0"/>
              </w:rPr>
              <w:t xml:space="preserve">.</w:t>
            </w:r>
          </w:p>
        </w:tc>
      </w:tr>
    </w:tbl>
    <w:p w:rsidR="00000000" w:rsidDel="00000000" w:rsidP="00000000" w:rsidRDefault="00000000" w:rsidRPr="00000000" w14:paraId="0000000E">
      <w:pPr>
        <w:spacing w:after="120" w:before="120" w:line="240" w:lineRule="auto"/>
        <w:ind w:left="0" w:hanging="2"/>
        <w:jc w:val="both"/>
        <w:rPr>
          <w:rFonts w:ascii="Arial" w:cs="Arial" w:eastAsia="Arial" w:hAnsi="Arial"/>
        </w:rPr>
      </w:pPr>
      <w:r w:rsidDel="00000000" w:rsidR="00000000" w:rsidRPr="00000000">
        <w:rPr>
          <w:rtl w:val="0"/>
        </w:rPr>
      </w:r>
    </w:p>
    <w:tbl>
      <w:tblPr>
        <w:tblStyle w:val="Table2"/>
        <w:tblW w:w="99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10"/>
        <w:gridCol w:w="2070"/>
        <w:gridCol w:w="1500"/>
        <w:gridCol w:w="3480"/>
        <w:tblGridChange w:id="0">
          <w:tblGrid>
            <w:gridCol w:w="2910"/>
            <w:gridCol w:w="2070"/>
            <w:gridCol w:w="1500"/>
            <w:gridCol w:w="3480"/>
          </w:tblGrid>
        </w:tblGridChange>
      </w:tblGrid>
      <w:tr>
        <w:trPr>
          <w:cantSplit w:val="0"/>
          <w:trHeight w:val="525"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tcPr>
          <w:p w:rsidR="00000000" w:rsidDel="00000000" w:rsidP="00000000" w:rsidRDefault="00000000" w:rsidRPr="00000000" w14:paraId="0000000F">
            <w:pP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2.</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IDENTIFICAÇÃO DAS PARTES</w:t>
            </w:r>
          </w:p>
        </w:tc>
      </w:tr>
      <w:tr>
        <w:trPr>
          <w:cantSplit w:val="0"/>
          <w:trHeight w:val="525" w:hRule="atLeast"/>
          <w:tblHeader w:val="0"/>
        </w:trPr>
        <w:tc>
          <w:tcPr>
            <w:gridSpan w:val="4"/>
            <w:tcBorders>
              <w:top w:color="000000" w:space="0" w:sz="4"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13">
            <w:pP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2.1. ENTE PÚBLICO</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17">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Razão Social:</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18">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9">
            <w:pPr>
              <w:spacing w:after="120" w:before="120" w:line="240" w:lineRule="auto"/>
              <w:ind w:left="0" w:hanging="2"/>
              <w:jc w:val="both"/>
              <w:rPr>
                <w:rFonts w:ascii="Arial" w:cs="Arial" w:eastAsia="Arial" w:hAnsi="Arial"/>
              </w:rPr>
            </w:pPr>
            <w:r w:rsidDel="00000000" w:rsidR="00000000" w:rsidRPr="00000000">
              <w:rPr>
                <w:rtl w:val="0"/>
              </w:rPr>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1C">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CNPJ:</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1D">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20">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Endereço completo:</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21">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24">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Nome do responsável legal:</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25">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28">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Cargo:</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29">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2C">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Registro Geral (RG):</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2D">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2E">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CPF:</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2F">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tc>
      </w:tr>
      <w:tr>
        <w:trPr>
          <w:cantSplit w:val="0"/>
          <w:trHeight w:val="525" w:hRule="atLeast"/>
          <w:tblHeader w:val="0"/>
        </w:trPr>
        <w:tc>
          <w:tcPr>
            <w:tcBorders>
              <w:top w:color="000000" w:space="0" w:sz="0" w:val="nil"/>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30">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Ato de nomeação:</w:t>
            </w:r>
          </w:p>
        </w:tc>
        <w:tc>
          <w:tcPr>
            <w:gridSpan w:val="3"/>
            <w:tcBorders>
              <w:top w:color="000000" w:space="0" w:sz="0" w:val="nil"/>
              <w:left w:color="000000" w:space="0" w:sz="0" w:val="nil"/>
              <w:bottom w:color="000000" w:space="0" w:sz="4"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31">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tc>
      </w:tr>
      <w:tr>
        <w:trPr>
          <w:cantSplit w:val="0"/>
          <w:trHeight w:val="525"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tcPr>
          <w:p w:rsidR="00000000" w:rsidDel="00000000" w:rsidP="00000000" w:rsidRDefault="00000000" w:rsidRPr="00000000" w14:paraId="00000034">
            <w:pP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2.2. ENTIDADE CULTURAL</w:t>
            </w:r>
          </w:p>
        </w:tc>
      </w:tr>
      <w:tr>
        <w:trPr>
          <w:cantSplit w:val="0"/>
          <w:trHeight w:val="540" w:hRule="atLeast"/>
          <w:tblHeader w:val="0"/>
        </w:trPr>
        <w:tc>
          <w:tcPr>
            <w:tcBorders>
              <w:top w:color="000000" w:space="0" w:sz="4"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38">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Razão Social:</w:t>
            </w:r>
          </w:p>
        </w:tc>
        <w:tc>
          <w:tcPr>
            <w:gridSpan w:val="3"/>
            <w:tcBorders>
              <w:top w:color="000000" w:space="0" w:sz="4" w:val="single"/>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39">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3A">
            <w:pPr>
              <w:spacing w:after="120" w:before="120" w:line="240" w:lineRule="auto"/>
              <w:ind w:left="0" w:hanging="2"/>
              <w:jc w:val="both"/>
              <w:rPr>
                <w:rFonts w:ascii="Arial" w:cs="Arial" w:eastAsia="Arial" w:hAnsi="Arial"/>
              </w:rPr>
            </w:pPr>
            <w:r w:rsidDel="00000000" w:rsidR="00000000" w:rsidRPr="00000000">
              <w:rPr>
                <w:rtl w:val="0"/>
              </w:rPr>
            </w:r>
          </w:p>
        </w:tc>
      </w:tr>
      <w:tr>
        <w:trPr>
          <w:cantSplit w:val="0"/>
          <w:trHeight w:val="540"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3D">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CNPJ:</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3E">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41">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Endereço completo:</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42">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45">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Nome do responsável legal:</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46">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49">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Cargo:</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4A">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4D">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Registro Geral (RG):</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4E">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4F">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CPF:</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0">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51">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Endereço completo do responsável legal:</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2">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055">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tab/>
      </w:r>
    </w:p>
    <w:tbl>
      <w:tblPr>
        <w:tblStyle w:val="Table3"/>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56">
            <w:pP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3.</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OBJETO</w:t>
            </w:r>
          </w:p>
        </w:tc>
      </w:tr>
      <w:tr>
        <w:trPr>
          <w:cantSplit w:val="0"/>
          <w:trHeight w:val="1080"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7">
            <w:pPr>
              <w:spacing w:after="120" w:before="120" w:line="240" w:lineRule="auto"/>
              <w:ind w:left="0" w:hanging="2"/>
              <w:jc w:val="both"/>
              <w:rPr>
                <w:rFonts w:ascii="Arial" w:cs="Arial" w:eastAsia="Arial" w:hAnsi="Arial"/>
              </w:rPr>
            </w:pPr>
            <w:r w:rsidDel="00000000" w:rsidR="00000000" w:rsidRPr="00000000">
              <w:rPr>
                <w:rFonts w:ascii="Arial" w:cs="Arial" w:eastAsia="Arial" w:hAnsi="Arial"/>
                <w:b w:val="1"/>
                <w:bCs w:val="1"/>
                <w:rtl w:val="0"/>
              </w:rPr>
              <w:t xml:space="preserve">3.1.</w:t>
            </w:r>
            <w:r w:rsidDel="00000000" w:rsidR="00000000" w:rsidRPr="00000000">
              <w:rPr>
                <w:rFonts w:ascii="Arial" w:cs="Arial" w:eastAsia="Arial" w:hAnsi="Arial"/>
                <w:rtl w:val="0"/>
              </w:rPr>
              <w:t xml:space="preserve"> O presente Termo de Compromisso Cultural-TCC tem como objeto a execução de projeto selecionado no Edital XXX, </w:t>
            </w:r>
            <w:r w:rsidDel="00000000" w:rsidR="00000000" w:rsidRPr="00000000">
              <w:rPr>
                <w:rFonts w:ascii="Arial" w:cs="Arial" w:eastAsia="Arial" w:hAnsi="Arial"/>
                <w:highlight w:val="white"/>
                <w:rtl w:val="0"/>
              </w:rPr>
              <w:t xml:space="preserve">que visa a promoção do acesso da população aos bens e aos serviços culturais nos territórios e comunidades onde atuam, nos termos da Política Nacional de Cultura Viva - PNCV, conforme Plano de Trabalho anexo.</w:t>
            </w:r>
            <w:r w:rsidDel="00000000" w:rsidR="00000000" w:rsidRPr="00000000">
              <w:rPr>
                <w:rtl w:val="0"/>
              </w:rPr>
            </w:r>
          </w:p>
        </w:tc>
      </w:tr>
    </w:tbl>
    <w:p w:rsidR="00000000" w:rsidDel="00000000" w:rsidP="00000000" w:rsidRDefault="00000000" w:rsidRPr="00000000" w14:paraId="00000058">
      <w:pPr>
        <w:ind w:left="0" w:hanging="2"/>
        <w:rPr>
          <w:rFonts w:ascii="Arial" w:cs="Arial" w:eastAsia="Arial" w:hAnsi="Arial"/>
        </w:rPr>
      </w:pPr>
      <w:r w:rsidDel="00000000" w:rsidR="00000000" w:rsidRPr="00000000">
        <w:rPr>
          <w:rFonts w:ascii="Arial" w:cs="Arial" w:eastAsia="Arial" w:hAnsi="Arial"/>
          <w:rtl w:val="0"/>
        </w:rPr>
        <w:t xml:space="preserve">                                                  </w:t>
        <w:tab/>
        <w:t xml:space="preserve">                                                 </w:t>
        <w:tab/>
      </w:r>
    </w:p>
    <w:tbl>
      <w:tblPr>
        <w:tblStyle w:val="Table4"/>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4. </w:t>
            </w:r>
            <w:r w:rsidDel="00000000" w:rsidR="00000000" w:rsidRPr="00000000">
              <w:rPr>
                <w:rFonts w:ascii="Arial" w:cs="Arial" w:eastAsia="Arial" w:hAnsi="Arial"/>
                <w:b w:val="1"/>
                <w:bCs w:val="1"/>
                <w:rtl w:val="0"/>
              </w:rPr>
              <w:t xml:space="preserve">OBRIGAÇÕES DAS PARTES</w:t>
            </w:r>
          </w:p>
        </w:tc>
      </w:tr>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5A">
            <w:pP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4.1.</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Do [NOME DO ESTADO/MUNICÍPIO]</w:t>
            </w:r>
          </w:p>
        </w:tc>
      </w:tr>
      <w:tr>
        <w:trPr>
          <w:cantSplit w:val="0"/>
          <w:trHeight w:val="69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5B">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Incumbe à Fundacc observar as obrigações descritas na Instrução legislação de regência, e as seguintes responsabilidades:</w:t>
            </w:r>
          </w:p>
          <w:p w:rsidR="00000000" w:rsidDel="00000000" w:rsidP="00000000" w:rsidRDefault="00000000" w:rsidRPr="00000000" w14:paraId="0000005C">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 - coordenar a gestão da PNCV, no âmbito de sua esfera de atuação;</w:t>
            </w:r>
          </w:p>
          <w:p w:rsidR="00000000" w:rsidDel="00000000" w:rsidP="00000000" w:rsidRDefault="00000000" w:rsidRPr="00000000" w14:paraId="0000005D">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II - atuar em parceria federativa junto ao governo federal, governos estaduais, do Distrito Federal e municipais, e outras instituições, para efetivação dos objetivos da PNCV previstos em lei;</w:t>
            </w:r>
          </w:p>
          <w:p w:rsidR="00000000" w:rsidDel="00000000" w:rsidP="00000000" w:rsidRDefault="00000000" w:rsidRPr="00000000" w14:paraId="0000005E">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III - realizar planejamento de desenvolvimento da PNCV, observando o Plano Nacional de Cultura e planos de cultura locais;</w:t>
            </w:r>
          </w:p>
          <w:p w:rsidR="00000000" w:rsidDel="00000000" w:rsidP="00000000" w:rsidRDefault="00000000" w:rsidRPr="00000000" w14:paraId="0000005F">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IV - garantir recursos humanos, orçamentários, financeiros, logísticos e tecnológicos para implementação da PNCV e efetividade de seus resultados;</w:t>
            </w:r>
          </w:p>
          <w:p w:rsidR="00000000" w:rsidDel="00000000" w:rsidP="00000000" w:rsidRDefault="00000000" w:rsidRPr="00000000" w14:paraId="00000060">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V -  desenvolver uma gestão pública compartilhada e participativa, por meio da organização e institucionalização das instâncias, fóruns e espaços de diálogos institucionais entre os partícipes da PNCV, em sua área de abrangência territorial;</w:t>
            </w:r>
          </w:p>
          <w:p w:rsidR="00000000" w:rsidDel="00000000" w:rsidP="00000000" w:rsidRDefault="00000000" w:rsidRPr="00000000" w14:paraId="00000061">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VI - desenvolver as ações estruturantes da PNCV por meio de políticas públicas integradas visando a promoção em uma cultura de direitos humanos e de valorização da cidadania e da diversidade artística e cultural;</w:t>
            </w:r>
          </w:p>
          <w:p w:rsidR="00000000" w:rsidDel="00000000" w:rsidP="00000000" w:rsidRDefault="00000000" w:rsidRPr="00000000" w14:paraId="00000062">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VII - disponibilizar e manter em funcionamento o Cadastro Nacional dos Pontos e Pontões de Cultura, no âmbito de sua esfera de atuação;</w:t>
            </w:r>
          </w:p>
          <w:p w:rsidR="00000000" w:rsidDel="00000000" w:rsidP="00000000" w:rsidRDefault="00000000" w:rsidRPr="00000000" w14:paraId="00000063">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VIII - fomentar ações para qualificação e formação de gestores, dirigentes de entidades culturais e outros agentes envolvidos no âmbito da PNCV;</w:t>
            </w:r>
          </w:p>
          <w:p w:rsidR="00000000" w:rsidDel="00000000" w:rsidP="00000000" w:rsidRDefault="00000000" w:rsidRPr="00000000" w14:paraId="00000064">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IX - dar ciência da celebração de parcerias federativas, no que couber, aos conselhos de cultura, assembleias legislativas e câmaras municipais de vereadores para efeitos de acompanhamento e fiscalização;</w:t>
            </w:r>
          </w:p>
          <w:p w:rsidR="00000000" w:rsidDel="00000000" w:rsidP="00000000" w:rsidRDefault="00000000" w:rsidRPr="00000000" w14:paraId="00000065">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 - promover ações de publicidade da PNCV que proporcionem controle social, transparência pública e visibilidade das ações junto à sociedade;</w:t>
            </w:r>
          </w:p>
          <w:p w:rsidR="00000000" w:rsidDel="00000000" w:rsidP="00000000" w:rsidRDefault="00000000" w:rsidRPr="00000000" w14:paraId="00000066">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XI - contribuir para o fortalecimento da atuação em redes territoriais, identitárias e temáticas no âmbito da PNCV;</w:t>
            </w:r>
          </w:p>
          <w:p w:rsidR="00000000" w:rsidDel="00000000" w:rsidP="00000000" w:rsidRDefault="00000000" w:rsidRPr="00000000" w14:paraId="00000067">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XII - realizar os atos e os procedimentos relativos à formalização, execução, acompanhamento e análise da prestação de contas do presente TCC;</w:t>
            </w:r>
          </w:p>
          <w:p w:rsidR="00000000" w:rsidDel="00000000" w:rsidP="00000000" w:rsidRDefault="00000000" w:rsidRPr="00000000" w14:paraId="00000068">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XIII - realizar os procedimentos relativos à Tomada de Contas Especial, quando for o caso;</w:t>
            </w:r>
          </w:p>
          <w:p w:rsidR="00000000" w:rsidDel="00000000" w:rsidP="00000000" w:rsidRDefault="00000000" w:rsidRPr="00000000" w14:paraId="00000069">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XIV - cumprir com os procedimentos de transparência e publicidade atribuídos ao poder público conforme o disposto na Seção III da IN MinC nº 08 de 11 de maio de 2016;</w:t>
            </w:r>
          </w:p>
          <w:p w:rsidR="00000000" w:rsidDel="00000000" w:rsidP="00000000" w:rsidRDefault="00000000" w:rsidRPr="00000000" w14:paraId="0000006A">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XV - repassar os recursos financeiros ao PONTO DE CULTURA, de acordo com a programação orçamentária e financeira do ente público, obedecendo ao cronograma financeiro constante deste instrumento e do plano de trabalho;</w:t>
            </w:r>
          </w:p>
          <w:p w:rsidR="00000000" w:rsidDel="00000000" w:rsidP="00000000" w:rsidRDefault="00000000" w:rsidRPr="00000000" w14:paraId="0000006B">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XVI - prorrogar “de ofício” o prazo de vigência do TCC antes do seu término, quando der causa ao atraso na liberação dos recursos, limitada à prorrogação ao exato período do atraso verificado;</w:t>
            </w:r>
          </w:p>
          <w:p w:rsidR="00000000" w:rsidDel="00000000" w:rsidP="00000000" w:rsidRDefault="00000000" w:rsidRPr="00000000" w14:paraId="0000006C">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XVII - aplicar as penalidades previstas e proceder às ações administrativas necessárias à exigência da restituição dos recursos transferidos;</w:t>
            </w:r>
          </w:p>
          <w:p w:rsidR="00000000" w:rsidDel="00000000" w:rsidP="00000000" w:rsidRDefault="00000000" w:rsidRPr="00000000" w14:paraId="0000006D">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XVIII - comunicar aos Pontos e Pontões de Cultura a identificação de quaisquer irregularidades decorrentes do uso dos recursos ou pendências de ordem técnica, podendo suspender a liberação de recursos e fixar prazo de trinta dias para saneamento ou apresentação de justificativa com informações e esclarecimentos, prorrogável uma única vez por igual período.</w:t>
            </w:r>
          </w:p>
          <w:p w:rsidR="00000000" w:rsidDel="00000000" w:rsidP="00000000" w:rsidRDefault="00000000" w:rsidRPr="00000000" w14:paraId="0000006E">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XIX - analisar a prestação de contas dos recursos aplicados na consecução do objeto deste TCC, na forma e prazo fixados no Decreto nº 11.453/2023 e no art. 47 da IN MinC nº 08/2016;</w:t>
            </w:r>
          </w:p>
          <w:p w:rsidR="00000000" w:rsidDel="00000000" w:rsidP="00000000" w:rsidRDefault="00000000" w:rsidRPr="00000000" w14:paraId="0000006F">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XX - nos casos em que o PONTO DE CULTURA não apresentar o Relatório de Execução do Objeto ou o Relatório de Execução Financeira nos prazos devidos, enviar notificação exigindo que o faça no prazo máximo de trinta dias, sob pena de rejeição das contas e exigência de devolução integral dos recursos, com atualização monetária e juros;</w:t>
            </w:r>
          </w:p>
          <w:p w:rsidR="00000000" w:rsidDel="00000000" w:rsidP="00000000" w:rsidRDefault="00000000" w:rsidRPr="00000000" w14:paraId="00000070">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XXI - exercer, se conveniente e oportuno, a prerrogativa de assumir ou de transferir a responsabilidade pela execução do objeto, no caso de paralisação ou da ocorrência de fato relevante, de modo a evitar sua descontinuidade.</w:t>
            </w:r>
          </w:p>
          <w:p w:rsidR="00000000" w:rsidDel="00000000" w:rsidP="00000000" w:rsidRDefault="00000000" w:rsidRPr="00000000" w14:paraId="00000071">
            <w:pPr>
              <w:spacing w:after="120" w:before="120" w:line="240" w:lineRule="auto"/>
              <w:ind w:left="0" w:hanging="2"/>
              <w:jc w:val="both"/>
              <w:rPr>
                <w:rFonts w:ascii="Arial" w:cs="Arial" w:eastAsia="Arial" w:hAnsi="Arial"/>
              </w:rPr>
            </w:pPr>
            <w:r w:rsidDel="00000000" w:rsidR="00000000" w:rsidRPr="00000000">
              <w:rPr>
                <w:rtl w:val="0"/>
              </w:rPr>
            </w:r>
          </w:p>
        </w:tc>
      </w:tr>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72">
            <w:pP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4.2.</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Da Entidade Cultural</w:t>
            </w:r>
          </w:p>
        </w:tc>
      </w:tr>
      <w:tr>
        <w:trPr>
          <w:cantSplit w:val="0"/>
          <w:trHeight w:val="22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73">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Incumbe à Entidade Cultural observar as obrigações descritas na legislação de regência e, ainda, as seguintes responsabilidades:</w:t>
            </w:r>
          </w:p>
          <w:p w:rsidR="00000000" w:rsidDel="00000000" w:rsidP="00000000" w:rsidRDefault="00000000" w:rsidRPr="00000000" w14:paraId="00000074">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 - executar o projeto conforme Plano de Trabalho aprovado e produzir provas documentais sobre o andamento da execução do projeto, inclusive das alterações no Plano de Trabalho;</w:t>
            </w:r>
          </w:p>
          <w:p w:rsidR="00000000" w:rsidDel="00000000" w:rsidP="00000000" w:rsidRDefault="00000000" w:rsidRPr="00000000" w14:paraId="00000075">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II - cumprir com os procedimentos de transparência e publicidade atribuídos à entidade cultural conforme o disposto no Capítulo IV,  Seção III da IN MinC nº 08 de 11 de maio de 2016;</w:t>
            </w:r>
          </w:p>
          <w:p w:rsidR="00000000" w:rsidDel="00000000" w:rsidP="00000000" w:rsidRDefault="00000000" w:rsidRPr="00000000" w14:paraId="00000076">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III - divulgar, em destaque, o nome do Ministério da Cultura/Governo Federal e do ENTE PÚBLICO parceiro em todos os atos de promoção e divulgação do projeto, obedecendo aos critérios de veiculação das logomarcas estabelecidas, que serão disponibilizadas pela SCDC/MinC e pelo ENTE PÚBLICO parceiro, observadas as restrições vigentes em ano eleitoral, quando for o caso;</w:t>
            </w:r>
          </w:p>
          <w:p w:rsidR="00000000" w:rsidDel="00000000" w:rsidP="00000000" w:rsidRDefault="00000000" w:rsidRPr="00000000" w14:paraId="00000077">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IV - desenvolver uma gestão compartilhada e participativa, por meio de instâncias, fóruns e espaços de diálogos junto aos beneficiários em sua área de abrangência;</w:t>
            </w:r>
          </w:p>
          <w:p w:rsidR="00000000" w:rsidDel="00000000" w:rsidP="00000000" w:rsidRDefault="00000000" w:rsidRPr="00000000" w14:paraId="00000078">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V - envidar esforços visando atuar nos processos participativos instituídos pelo Sistema Nacional de Cultura-SNC (especialmente as Conferências de Cultura) e pela PNCV (especialmente as TEIAs) em âmbito local, regional e nacional;</w:t>
            </w:r>
          </w:p>
          <w:p w:rsidR="00000000" w:rsidDel="00000000" w:rsidP="00000000" w:rsidRDefault="00000000" w:rsidRPr="00000000" w14:paraId="00000079">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VI - estimular a participação ativa dos beneficiários da PNCV nos processos participativos instituídos no SNC e na PNCV em âmbito local, regional e nacional;</w:t>
            </w:r>
          </w:p>
          <w:p w:rsidR="00000000" w:rsidDel="00000000" w:rsidP="00000000" w:rsidRDefault="00000000" w:rsidRPr="00000000" w14:paraId="0000007A">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VII - contribuir com a organização e funcionamento da Rede Cultura Viva e de suas instâncias, mecanismos e processos de gestão compartilhada, participação e controle social;</w:t>
            </w:r>
          </w:p>
          <w:p w:rsidR="00000000" w:rsidDel="00000000" w:rsidP="00000000" w:rsidRDefault="00000000" w:rsidRPr="00000000" w14:paraId="0000007B">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VIII - manter seus dados cadastrais atualizados no Cadastro Nacional de Pontos e Pontões de Cultura, atendendo à chamada anual de atualização de dados;</w:t>
            </w:r>
          </w:p>
          <w:p w:rsidR="00000000" w:rsidDel="00000000" w:rsidP="00000000" w:rsidRDefault="00000000" w:rsidRPr="00000000" w14:paraId="0000007C">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IX - dar transparência aos valores pagos a título de remuneração de sua equipe de trabalho vinculada à execução do TCC, em sua sede e no seu sítio eletrônico, sendo vedado o pagamento, a qualquer título, a servidor ou empregado público, salvo nas hipóteses previstas em lei específica ou na Lei de Diretrizes Orçamentárias, a empresas privadas que tenham em seu quadro societário servidor público da ativa, ou a empregado de empresa pública, ou de sociedade de economia mista, por serviços prestados, inclusive consultoria, assistência técnica ou assemelhados;</w:t>
            </w:r>
          </w:p>
          <w:p w:rsidR="00000000" w:rsidDel="00000000" w:rsidP="00000000" w:rsidRDefault="00000000" w:rsidRPr="00000000" w14:paraId="0000007D">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 - permitir livre acesso dos servidores dos órgãos ou das entidades públicas repassadoras dos recursos, do controle interno e do tribunal de contas correspondentes aos processos, aos documentos, às informações referentes aos instrumentos de transferências regulamentados pela Instrução Normativa/MinC nº 8/2016, bem como aos locais de execução do objeto;</w:t>
            </w:r>
          </w:p>
          <w:p w:rsidR="00000000" w:rsidDel="00000000" w:rsidP="00000000" w:rsidRDefault="00000000" w:rsidRPr="00000000" w14:paraId="0000007E">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XI - a responsabilidade exclusiva pelo gerenciamento administrativo e financeiro dos recursos recebidos; </w:t>
            </w:r>
          </w:p>
          <w:p w:rsidR="00000000" w:rsidDel="00000000" w:rsidP="00000000" w:rsidRDefault="00000000" w:rsidRPr="00000000" w14:paraId="0000007F">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XII - pagar os encargos trabalhistas, previdenciários, fiscais e comerciais relativos ao funcionamento da instituição e ao adimplemento do TCC, não se caracterizando responsabilidade solidária ou subsidiária da administração pública concedente pelos respectivos pagamentos ou qualquer oneração do objeto da parceria ou restrição à sua execução;</w:t>
            </w:r>
          </w:p>
          <w:p w:rsidR="00000000" w:rsidDel="00000000" w:rsidP="00000000" w:rsidRDefault="00000000" w:rsidRPr="00000000" w14:paraId="00000080">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XIII - prestar contas dos recursos recebidos, conforme acordado neste Termo e na forma dos atos normativos que se relacionam com o tema;</w:t>
            </w:r>
          </w:p>
          <w:p w:rsidR="00000000" w:rsidDel="00000000" w:rsidP="00000000" w:rsidRDefault="00000000" w:rsidRPr="00000000" w14:paraId="00000081">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XIV - guardar os documentos originais de comprovação do cumprimento do objeto pelo prazo de cinco anos após a entrega da prestação de contas, estando ciente de que a documentação de comprovação fiscal em princípio não será exigida, mas deve ser obtida e guardada pela entidade cultural pelo mesmo prazo, e inclusive pode ser solicitada para fins de demonstração de cumprimento de obrigações perante outras autoridades estatais, tais como os órgãos de fiscalização tributária, previdenciária e trabalhista, órgãos de controle interno e externo do Governo Estadual ou Federal; e</w:t>
            </w:r>
          </w:p>
          <w:p w:rsidR="00000000" w:rsidDel="00000000" w:rsidP="00000000" w:rsidRDefault="00000000" w:rsidRPr="00000000" w14:paraId="00000082">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XV - adquirir e manter em bom estado equipamentos multimídia, direcionados à cultura digital, que contribuam com o objeto pactuado, salvo quando a Entidade declare que já possui equipamento em adequadas condições de manutenção e funcionamento, comprometendo-se a disponibilizá-lo para uso na execução da parceria.</w:t>
            </w:r>
          </w:p>
        </w:tc>
      </w:tr>
    </w:tbl>
    <w:p w:rsidR="00000000" w:rsidDel="00000000" w:rsidP="00000000" w:rsidRDefault="00000000" w:rsidRPr="00000000" w14:paraId="00000083">
      <w:pPr>
        <w:ind w:left="0" w:hanging="2"/>
        <w:rPr>
          <w:rFonts w:ascii="Arial" w:cs="Arial" w:eastAsia="Arial" w:hAnsi="Arial"/>
        </w:rPr>
      </w:pPr>
      <w:r w:rsidDel="00000000" w:rsidR="00000000" w:rsidRPr="00000000">
        <w:rPr>
          <w:rtl w:val="0"/>
        </w:rPr>
      </w:r>
    </w:p>
    <w:tbl>
      <w:tblPr>
        <w:tblStyle w:val="Table5"/>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5. DOS VALORES</w:t>
            </w:r>
          </w:p>
        </w:tc>
      </w:tr>
      <w:tr>
        <w:trPr>
          <w:cantSplit w:val="0"/>
          <w:trHeight w:val="139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85">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Para execução das atividades previstas no Plano de Trabalho deste TCC, serão disponibilizados pelo Ente Público recursos no valor total em desembolso único de</w:t>
            </w:r>
            <w:r w:rsidDel="00000000" w:rsidR="00000000" w:rsidRPr="00000000">
              <w:rPr>
                <w:rFonts w:ascii="Arial" w:cs="Arial" w:eastAsia="Arial" w:hAnsi="Arial"/>
                <w:rtl w:val="0"/>
              </w:rPr>
              <w:t xml:space="preserve"> R$90.000,00, de acordo com o Cronograma de Desembolso constante do Plano de Trabalho, correspondente à Nota de Empenho XXXX, de XX/XX/2026.</w:t>
            </w:r>
          </w:p>
        </w:tc>
      </w:tr>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5.1 </w:t>
            </w:r>
            <w:r w:rsidDel="00000000" w:rsidR="00000000" w:rsidRPr="00000000">
              <w:rPr>
                <w:rFonts w:ascii="Arial" w:cs="Arial" w:eastAsia="Arial" w:hAnsi="Arial"/>
                <w:b w:val="1"/>
                <w:bCs w:val="1"/>
                <w:rtl w:val="0"/>
              </w:rPr>
              <w:t xml:space="preserve">Da movimentação dos recursos financeiros</w:t>
            </w:r>
          </w:p>
        </w:tc>
      </w:tr>
      <w:tr>
        <w:trPr>
          <w:cantSplit w:val="0"/>
          <w:trHeight w:val="22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87">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Os recursos referentes ao presente Termo de Compromisso Cultural, a serem desembolsados pelo Ente Público, serão depositados e geridos em conta específica de instituição financeira indicada pela entidade cultural, na </w:t>
            </w:r>
            <w:r w:rsidDel="00000000" w:rsidR="00000000" w:rsidRPr="00000000">
              <w:rPr>
                <w:rFonts w:ascii="Arial" w:cs="Arial" w:eastAsia="Arial" w:hAnsi="Arial"/>
                <w:rtl w:val="0"/>
              </w:rPr>
              <w:t xml:space="preserve">Agência XXXX – Banco XXXX, na cidade XXXX, UF XX, em conformidade com os prazos estabelecidos no Cronograma Financeiro constante do Plano de Trabalho.</w:t>
            </w:r>
          </w:p>
          <w:p w:rsidR="00000000" w:rsidDel="00000000" w:rsidP="00000000" w:rsidRDefault="00000000" w:rsidRPr="00000000" w14:paraId="00000088">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5.1.1 Os recursos depositados nesta conta bancária específica, enquanto não empregados na sua finalidade, serão obrigatoriamente aplicados:</w:t>
            </w:r>
          </w:p>
          <w:p w:rsidR="00000000" w:rsidDel="00000000" w:rsidP="00000000" w:rsidRDefault="00000000" w:rsidRPr="00000000" w14:paraId="00000089">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 - em caderneta de poupança, ou</w:t>
            </w:r>
          </w:p>
          <w:p w:rsidR="00000000" w:rsidDel="00000000" w:rsidP="00000000" w:rsidRDefault="00000000" w:rsidRPr="00000000" w14:paraId="0000008A">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II - em fundo de aplicação financeira de curto prazo ou operação de mercado aberto lastreada em título da dívida pública.</w:t>
            </w:r>
          </w:p>
          <w:p w:rsidR="00000000" w:rsidDel="00000000" w:rsidP="00000000" w:rsidRDefault="00000000" w:rsidRPr="00000000" w14:paraId="0000008B">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5.1.2 Os recursos deste Termo de Compromisso Cultural serão utilizados exclusivamente para o pagamento das despesas previstas no objeto do TCC, vedada a sua aplicação em finalidade diversa, ainda que decorrentes de necessidade emergencial do PONTO DE CULTURA.</w:t>
            </w:r>
          </w:p>
          <w:p w:rsidR="00000000" w:rsidDel="00000000" w:rsidP="00000000" w:rsidRDefault="00000000" w:rsidRPr="00000000" w14:paraId="0000008C">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5.1.3 Os rendimentos de aplicações financeiras poderão ser aplicados para manter o poder de compra dos recursos da parceria, bem como para ampliação ou criação de metas, durante a vigência do TCC, desde que contribuam para a execução do objeto, ou para incremento deste.</w:t>
            </w:r>
          </w:p>
          <w:p w:rsidR="00000000" w:rsidDel="00000000" w:rsidP="00000000" w:rsidRDefault="00000000" w:rsidRPr="00000000" w14:paraId="0000008D">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5.1.4 O uso de rendimentos para as finalidades descritas no item 5.1.3 poderá ser realizado sem autorização prévia da administração pública, desde que seja descrito no Relatório de Execução do Objeto, com motivação.</w:t>
            </w:r>
          </w:p>
          <w:p w:rsidR="00000000" w:rsidDel="00000000" w:rsidP="00000000" w:rsidRDefault="00000000" w:rsidRPr="00000000" w14:paraId="0000008E">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5.1.5 O remanejamento de recurso no plano de trabalho poderá ocorrer desde que:</w:t>
            </w:r>
          </w:p>
          <w:p w:rsidR="00000000" w:rsidDel="00000000" w:rsidP="00000000" w:rsidRDefault="00000000" w:rsidRPr="00000000" w14:paraId="0000008F">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 - seja realizado durante a vigência do TCC;</w:t>
            </w:r>
          </w:p>
          <w:p w:rsidR="00000000" w:rsidDel="00000000" w:rsidP="00000000" w:rsidRDefault="00000000" w:rsidRPr="00000000" w14:paraId="00000090">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II - tenha como finalidade o cumprimento do objeto pactuado;</w:t>
            </w:r>
          </w:p>
          <w:p w:rsidR="00000000" w:rsidDel="00000000" w:rsidP="00000000" w:rsidRDefault="00000000" w:rsidRPr="00000000" w14:paraId="00000091">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III - não altere o valor global do orçamento aprovado no TCC.</w:t>
            </w:r>
          </w:p>
          <w:p w:rsidR="00000000" w:rsidDel="00000000" w:rsidP="00000000" w:rsidRDefault="00000000" w:rsidRPr="00000000" w14:paraId="00000092">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5.1.6 Após a conclusão, rescisão ou extinção deste TCC, os saldos financeiros remanescentes, inclusive os provenientes das receitas obtidas das aplicações financeiras realizadas, deverão ser devolvidos pelo PONTO DE CULTURA ao Ente Público, no prazo de trinta dias.</w:t>
            </w:r>
          </w:p>
        </w:tc>
      </w:tr>
    </w:tbl>
    <w:p w:rsidR="00000000" w:rsidDel="00000000" w:rsidP="00000000" w:rsidRDefault="00000000" w:rsidRPr="00000000" w14:paraId="00000093">
      <w:pPr>
        <w:ind w:left="0" w:hanging="2"/>
        <w:rPr>
          <w:rFonts w:ascii="Arial" w:cs="Arial" w:eastAsia="Arial" w:hAnsi="Arial"/>
        </w:rPr>
      </w:pPr>
      <w:r w:rsidDel="00000000" w:rsidR="00000000" w:rsidRPr="00000000">
        <w:rPr>
          <w:rtl w:val="0"/>
        </w:rPr>
      </w:r>
    </w:p>
    <w:tbl>
      <w:tblPr>
        <w:tblStyle w:val="Table6"/>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6. </w:t>
            </w:r>
            <w:r w:rsidDel="00000000" w:rsidR="00000000" w:rsidRPr="00000000">
              <w:rPr>
                <w:rFonts w:ascii="Arial" w:cs="Arial" w:eastAsia="Arial" w:hAnsi="Arial"/>
                <w:b w:val="1"/>
                <w:bCs w:val="1"/>
                <w:rtl w:val="0"/>
              </w:rPr>
              <w:t xml:space="preserve">DO ACOMPANHAMENTO E AVALIAÇÃO</w:t>
            </w:r>
          </w:p>
        </w:tc>
      </w:tr>
      <w:tr>
        <w:trPr>
          <w:cantSplit w:val="0"/>
          <w:trHeight w:val="22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95">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6.1. A Fundacc realizará o acompanhamento e a avaliação da execução</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rtl w:val="0"/>
              </w:rPr>
              <w:t xml:space="preserve">deste TCC, periodicamente, durante a vigência da parceria, com vistas a promover o levantamento de dados para subsidiar a avaliação da prestação de contas podendo, para tanto:</w:t>
            </w:r>
          </w:p>
          <w:p w:rsidR="00000000" w:rsidDel="00000000" w:rsidP="00000000" w:rsidRDefault="00000000" w:rsidRPr="00000000" w14:paraId="00000096">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 -  exigir informações técnicas (incluindo relatório fotográfico), prestações de contas parciais e/ou final a qualquer momento;</w:t>
            </w:r>
          </w:p>
          <w:p w:rsidR="00000000" w:rsidDel="00000000" w:rsidP="00000000" w:rsidRDefault="00000000" w:rsidRPr="00000000" w14:paraId="00000097">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II - exigir o registro, nos sistemas institucionais indicados pelo Ministério da Cultura, das atividades provenientes da execução do TCC;</w:t>
            </w:r>
          </w:p>
          <w:p w:rsidR="00000000" w:rsidDel="00000000" w:rsidP="00000000" w:rsidRDefault="00000000" w:rsidRPr="00000000" w14:paraId="00000098">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III - usar os diversos canais eletrônicos de comunicação e divulgação absorvendo informações sobre a execução do TCC e adotando providências necessárias, quando for o caso;</w:t>
            </w:r>
          </w:p>
          <w:p w:rsidR="00000000" w:rsidDel="00000000" w:rsidP="00000000" w:rsidRDefault="00000000" w:rsidRPr="00000000" w14:paraId="00000099">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IV - fazer vistoria in loco (vistoria no local);</w:t>
            </w:r>
          </w:p>
          <w:p w:rsidR="00000000" w:rsidDel="00000000" w:rsidP="00000000" w:rsidRDefault="00000000" w:rsidRPr="00000000" w14:paraId="0000009A">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V - utilizar apoio técnico de terceiros, delegar competência ou firmar parcerias com órgãos ou entidades.</w:t>
            </w:r>
          </w:p>
          <w:p w:rsidR="00000000" w:rsidDel="00000000" w:rsidP="00000000" w:rsidRDefault="00000000" w:rsidRPr="00000000" w14:paraId="0000009B">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6.2 A Fundacc produzirá registros sobre suas atividades de acompanhamento e monitoramento, por meio de certidões, memórias de reunião, relatórios ou outros documentos técnicos, podendo propor à entidade cultural a reorientação das ações ou a realização de ajustes para aprimorar a execução do objeto da parceria.</w:t>
            </w:r>
          </w:p>
          <w:p w:rsidR="00000000" w:rsidDel="00000000" w:rsidP="00000000" w:rsidRDefault="00000000" w:rsidRPr="00000000" w14:paraId="0000009C">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6.3 Os TCCs estarão também sujeitos aos mecanismos de controle social previstos na legislação e ao acompanhamento por comissões e conselhos de políticas públicas da área cultural.</w:t>
            </w:r>
          </w:p>
        </w:tc>
      </w:tr>
    </w:tbl>
    <w:p w:rsidR="00000000" w:rsidDel="00000000" w:rsidP="00000000" w:rsidRDefault="00000000" w:rsidRPr="00000000" w14:paraId="0000009D">
      <w:pPr>
        <w:ind w:left="0" w:hanging="2"/>
        <w:rPr>
          <w:rFonts w:ascii="Arial" w:cs="Arial" w:eastAsia="Arial" w:hAnsi="Arial"/>
        </w:rPr>
      </w:pPr>
      <w:r w:rsidDel="00000000" w:rsidR="00000000" w:rsidRPr="00000000">
        <w:rPr>
          <w:rtl w:val="0"/>
        </w:rPr>
      </w:r>
    </w:p>
    <w:tbl>
      <w:tblPr>
        <w:tblStyle w:val="Table7"/>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7. DA PRESTAÇÃO DE CONTAS</w:t>
            </w:r>
          </w:p>
        </w:tc>
      </w:tr>
      <w:tr>
        <w:trPr>
          <w:cantSplit w:val="0"/>
          <w:trHeight w:val="22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9F">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7.1 A prestação de contas será apresentada por meio do </w:t>
            </w:r>
            <w:r w:rsidDel="00000000" w:rsidR="00000000" w:rsidRPr="00000000">
              <w:rPr>
                <w:rFonts w:ascii="Arial" w:cs="Arial" w:eastAsia="Arial" w:hAnsi="Arial"/>
                <w:u w:val="single"/>
                <w:rtl w:val="0"/>
              </w:rPr>
              <w:t xml:space="preserve">Relatório de Execução do Objeto</w:t>
            </w:r>
            <w:r w:rsidDel="00000000" w:rsidR="00000000" w:rsidRPr="00000000">
              <w:rPr>
                <w:rFonts w:ascii="Arial" w:cs="Arial" w:eastAsia="Arial" w:hAnsi="Arial"/>
                <w:rtl w:val="0"/>
              </w:rPr>
              <w:t xml:space="preserve">, no prazo de 90 (noventa) dias após o fim da vigência do TCC, contendo:</w:t>
            </w:r>
          </w:p>
          <w:p w:rsidR="00000000" w:rsidDel="00000000" w:rsidP="00000000" w:rsidRDefault="00000000" w:rsidRPr="00000000" w14:paraId="000000A0">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 - relato das atividades realizadas para o cumprimento do objeto, que deve tratar sobre o alcance dos objetivos, sobre ações eventualmente realizadas para promover a acessibilidade e os desdobramentos do projeto, tendo por referência as informações constantes no plano de trabalho;</w:t>
            </w:r>
          </w:p>
          <w:p w:rsidR="00000000" w:rsidDel="00000000" w:rsidP="00000000" w:rsidRDefault="00000000" w:rsidRPr="00000000" w14:paraId="000000A1">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II - comparativo de metas propostas com os resultados alcançados, a partir das informações constantes do plano de trabalho, podendo a comprovação sobre os produtos e serviços relativos às metas se dar pela apresentação de fotos, listas de presença, vídeos, entre outros;</w:t>
            </w:r>
          </w:p>
          <w:p w:rsidR="00000000" w:rsidDel="00000000" w:rsidP="00000000" w:rsidRDefault="00000000" w:rsidRPr="00000000" w14:paraId="000000A2">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III - material que comprove a execução de cada item de despesa e a consecução de cada uma das metas (fotos, listas de presença, vídeos, entre outros) descrito no Plano de Trabalho.</w:t>
            </w:r>
          </w:p>
          <w:p w:rsidR="00000000" w:rsidDel="00000000" w:rsidP="00000000" w:rsidRDefault="00000000" w:rsidRPr="00000000" w14:paraId="000000A3">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7.2 Os documentos originais de comprovação do cumprimento do objeto deverão ser guardados pelo PONTO DE CULTURA pelo prazo de cinco anos após a entrega da prestação de contas.</w:t>
            </w:r>
          </w:p>
          <w:p w:rsidR="00000000" w:rsidDel="00000000" w:rsidP="00000000" w:rsidRDefault="00000000" w:rsidRPr="00000000" w14:paraId="000000A4">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7.3 O prazo de apresentação do Relatório de Execução do Objeto poderá ser prorrogado por até trinta dias, mediante solicitação fundamentada do PONTO DE CULTURA.</w:t>
            </w:r>
          </w:p>
          <w:p w:rsidR="00000000" w:rsidDel="00000000" w:rsidP="00000000" w:rsidRDefault="00000000" w:rsidRPr="00000000" w14:paraId="000000A5">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7.4 Caso o Ente Público verifique que houve inadequação na execução do objeto, o PONTO DE CULTURA será notificado para apresentar Relatório de Execução Financeiro, no prazo de trinta dias, contendo:</w:t>
            </w:r>
          </w:p>
          <w:p w:rsidR="00000000" w:rsidDel="00000000" w:rsidP="00000000" w:rsidRDefault="00000000" w:rsidRPr="00000000" w14:paraId="000000A6">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 - relação de pagamentos, com indicação dos beneficiários desses pagamentos e identificação do item de despesa e meta relacionados a cada pagamento;</w:t>
            </w:r>
          </w:p>
          <w:p w:rsidR="00000000" w:rsidDel="00000000" w:rsidP="00000000" w:rsidRDefault="00000000" w:rsidRPr="00000000" w14:paraId="000000A7">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II - extrato bancário da conta do TCC, incluindo toda a movimentação desde a abertura até a última movimentação, e conciliação bancária; e</w:t>
            </w:r>
          </w:p>
          <w:p w:rsidR="00000000" w:rsidDel="00000000" w:rsidP="00000000" w:rsidRDefault="00000000" w:rsidRPr="00000000" w14:paraId="000000A8">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III - comprovante de recolhimento do saldo remanescente de recursos, quando houver.</w:t>
            </w:r>
          </w:p>
          <w:p w:rsidR="00000000" w:rsidDel="00000000" w:rsidP="00000000" w:rsidRDefault="00000000" w:rsidRPr="00000000" w14:paraId="000000A9">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7.5 O Ente Público considerará que houve inadequação na execução do objeto quando configurada uma das seguintes hipóteses:</w:t>
            </w:r>
          </w:p>
          <w:p w:rsidR="00000000" w:rsidDel="00000000" w:rsidP="00000000" w:rsidRDefault="00000000" w:rsidRPr="00000000" w14:paraId="000000AA">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 - quando for identificado o descumprimento injustificado do alcance das metas; ou</w:t>
            </w:r>
          </w:p>
          <w:p w:rsidR="00000000" w:rsidDel="00000000" w:rsidP="00000000" w:rsidRDefault="00000000" w:rsidRPr="00000000" w14:paraId="000000AB">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II - quando for aceita denúncia de irregularidade, mediante juízo de admissibilidade realizado pelo Ente Público.</w:t>
            </w:r>
          </w:p>
        </w:tc>
      </w:tr>
    </w:tbl>
    <w:p w:rsidR="00000000" w:rsidDel="00000000" w:rsidP="00000000" w:rsidRDefault="00000000" w:rsidRPr="00000000" w14:paraId="000000AC">
      <w:pPr>
        <w:ind w:left="0" w:hanging="2"/>
        <w:rPr>
          <w:rFonts w:ascii="Arial" w:cs="Arial" w:eastAsia="Arial" w:hAnsi="Arial"/>
        </w:rPr>
      </w:pPr>
      <w:r w:rsidDel="00000000" w:rsidR="00000000" w:rsidRPr="00000000">
        <w:rPr>
          <w:rtl w:val="0"/>
        </w:rPr>
      </w:r>
    </w:p>
    <w:tbl>
      <w:tblPr>
        <w:tblStyle w:val="Table8"/>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8. DOS BENS REMANESCENTES</w:t>
            </w:r>
          </w:p>
        </w:tc>
      </w:tr>
      <w:tr>
        <w:trPr>
          <w:cantSplit w:val="0"/>
          <w:trHeight w:val="22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AE">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8.1 Os bens patrimoniais adquiridos, produzidos, transformados ou construídos com recursos deste TCC são da titularidade da Entidade Cultural celebrante e ficarão afetados ao objeto do presente TCC durante o prazo de sua duração, sendo considerados bens remanescentes ao seu término, dispensada a celebração de instrumento específico para esta finalidade.</w:t>
            </w:r>
          </w:p>
          <w:p w:rsidR="00000000" w:rsidDel="00000000" w:rsidP="00000000" w:rsidRDefault="00000000" w:rsidRPr="00000000" w14:paraId="000000AF">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8.2 Quando da extinção da parceria, os bens remanescentes permanecerão na propriedade da Entidade Cultural, na medida em que os bens sejam úteis à continuidade da execução de ações de interesse social pela organização.</w:t>
            </w:r>
          </w:p>
          <w:p w:rsidR="00000000" w:rsidDel="00000000" w:rsidP="00000000" w:rsidRDefault="00000000" w:rsidRPr="00000000" w14:paraId="000000B0">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8.3 Caso a prestação de contas final seja rejeitada, a titularidade dos bens remanescentes permanecerá com a Entidade Cultural, observados os seguintes procedimentos:</w:t>
            </w:r>
          </w:p>
          <w:p w:rsidR="00000000" w:rsidDel="00000000" w:rsidP="00000000" w:rsidRDefault="00000000" w:rsidRPr="00000000" w14:paraId="000000B1">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 -  não será exigido ressarcimento do valor relativo ao bem adquirido quando a motivação da rejeição não estiver relacionada ao seu uso ou aquisição; ou</w:t>
            </w:r>
          </w:p>
          <w:p w:rsidR="00000000" w:rsidDel="00000000" w:rsidP="00000000" w:rsidRDefault="00000000" w:rsidRPr="00000000" w14:paraId="000000B2">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II - o valor pelo qual o bem remanescente foi adquirido deverá ser computado no cálculo do dano ao erário a ser ressarcido, quando a motivação da rejeição estiver relacionada ao seu uso ou aquisição. </w:t>
            </w:r>
          </w:p>
          <w:p w:rsidR="00000000" w:rsidDel="00000000" w:rsidP="00000000" w:rsidRDefault="00000000" w:rsidRPr="00000000" w14:paraId="000000B3">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8.4 Na hipótese de dissolução da Entidade Cultural durante a vigência do TCC, o valor pelo qual os bens remanescentes foram adquiridos deverá ser computado no cálculo do valor a ser ressarcido.</w:t>
            </w:r>
          </w:p>
          <w:p w:rsidR="00000000" w:rsidDel="00000000" w:rsidP="00000000" w:rsidRDefault="00000000" w:rsidRPr="00000000" w14:paraId="000000B4">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8.5 A Entidade Cultural poderá realizar doação dos bens remanescentes a terceiros, inclusive beneficiários da política pública objeto da parceria, desde que demonstrada sua utilidade para realização ou continuidade de ações de interesse social.</w:t>
            </w:r>
          </w:p>
          <w:p w:rsidR="00000000" w:rsidDel="00000000" w:rsidP="00000000" w:rsidRDefault="00000000" w:rsidRPr="00000000" w14:paraId="000000B5">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8.6 Os bens remanescentes poderão ter sua propriedade revertida para o Ente Público, a critério deste, se ao término da parceria ficar constatado que a Entidade Cultural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 Federal.</w:t>
            </w:r>
          </w:p>
          <w:p w:rsidR="00000000" w:rsidDel="00000000" w:rsidP="00000000" w:rsidRDefault="00000000" w:rsidRPr="00000000" w14:paraId="000000B6">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8.7 A destinação dos bens remanescentes poderá ser alterada por meio da celebração de Termo Aditivo ao TCC, após solicitação fundamentada de uma das partes.</w:t>
            </w:r>
          </w:p>
          <w:p w:rsidR="00000000" w:rsidDel="00000000" w:rsidP="00000000" w:rsidRDefault="00000000" w:rsidRPr="00000000" w14:paraId="000000B7">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8.8 No caso de término da execução do TCC antes da manifestação sobre eventual solicitação de uma das partes de alteração da destinação dos bens remanescentes, a custódia dos bens permanecerá sob a responsabilidade da Entidade Cultural até a decisão do pedido.</w:t>
            </w:r>
          </w:p>
        </w:tc>
      </w:tr>
    </w:tbl>
    <w:p w:rsidR="00000000" w:rsidDel="00000000" w:rsidP="00000000" w:rsidRDefault="00000000" w:rsidRPr="00000000" w14:paraId="000000B8">
      <w:pPr>
        <w:ind w:left="0" w:hanging="2"/>
        <w:rPr>
          <w:rFonts w:ascii="Arial" w:cs="Arial" w:eastAsia="Arial" w:hAnsi="Arial"/>
        </w:rPr>
      </w:pPr>
      <w:r w:rsidDel="00000000" w:rsidR="00000000" w:rsidRPr="00000000">
        <w:rPr>
          <w:rtl w:val="0"/>
        </w:rPr>
      </w:r>
    </w:p>
    <w:tbl>
      <w:tblPr>
        <w:tblStyle w:val="Table9"/>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9. DA PROPRIEDADE INTELECTUAL</w:t>
            </w:r>
          </w:p>
        </w:tc>
      </w:tr>
      <w:tr>
        <w:trPr>
          <w:cantSplit w:val="0"/>
          <w:trHeight w:val="22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BA">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9.1 Caso as atividades realizadas pela ENTIDADE CULTURAL com recursos públicos provenientes do Termo de Compromisso Cultural deem origem a bens passíveis de proteção pelo direito de propriedade intelectual, a exemplo de invenções, modelos de utilidade, desenhos industriais, obras intelectuais, cultivares, direitos autorais, programas de computador e outros tipos de criação, a ENTIDADE CULTURAL terá a titularidade da propriedade intelectual e a participação nos ganhos econômicos resultantes da exploração dos respectivos bens, os quais ficarão gravados com cláusula de inalienabilidade durante a vigência do Termo de Compromisso Cultural.</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9.2 -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para fins de divulgação da Política Nacional de Cultura Viva, os bens submetidos a regime de propriedade intelectual que eventualmente decorrerem da execução deste TCC, da seguinte forma:</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9.2.1 - Quanto aos direitos de que trata a Lei Nacional nº 9.279/1996, pelo uso de produto objeto de patente, processo ou produto obtido diretamente por processo patenteado, desenho industrial, indicação geográfica e marcas;</w:t>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9.2.2 - Quanto aos direitos de que trata a Lei Nacional nº 9.610/1998, pelas seguintes modalidades:</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 - a reprodução parcial ou integral, para fins de divulgação;</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II - a tradução para qualquer idioma;</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III - a inclusão em fonograma ou produção audiovisual;</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IV - a inclusão em base de dados, o armazenamento em computador, a microfilmagem e as demais formas de arquivamento do gênero.</w:t>
            </w:r>
          </w:p>
          <w:p w:rsidR="00000000" w:rsidDel="00000000" w:rsidP="00000000" w:rsidRDefault="00000000" w:rsidRPr="00000000" w14:paraId="000000C2">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9.2 Quando da extinção do TCC, os bens remanescentes passíveis de proteção pelo direito de propriedade intelectual poderão ter sua propriedade revertida para o órgão ou entidade pública federal, a critério da Administração Pública, quando a ENTIDADE CULTURAL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tc>
      </w:tr>
    </w:tbl>
    <w:p w:rsidR="00000000" w:rsidDel="00000000" w:rsidP="00000000" w:rsidRDefault="00000000" w:rsidRPr="00000000" w14:paraId="000000C3">
      <w:pPr>
        <w:ind w:left="0" w:hanging="2"/>
        <w:rPr>
          <w:rFonts w:ascii="Arial" w:cs="Arial" w:eastAsia="Arial" w:hAnsi="Arial"/>
        </w:rPr>
      </w:pPr>
      <w:r w:rsidDel="00000000" w:rsidR="00000000" w:rsidRPr="00000000">
        <w:rPr>
          <w:rtl w:val="0"/>
        </w:rPr>
      </w:r>
    </w:p>
    <w:tbl>
      <w:tblPr>
        <w:tblStyle w:val="Table10"/>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10. DO PRAZO DE VIGÊNCIA</w:t>
            </w:r>
          </w:p>
        </w:tc>
      </w:tr>
      <w:tr>
        <w:trPr>
          <w:cantSplit w:val="0"/>
          <w:trHeight w:val="9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C5">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10.1 O prazo de vigência deste TCC será de</w:t>
            </w:r>
            <w:r w:rsidDel="00000000" w:rsidR="00000000" w:rsidRPr="00000000">
              <w:rPr>
                <w:rFonts w:ascii="Arial" w:cs="Arial" w:eastAsia="Arial" w:hAnsi="Arial"/>
                <w:rtl w:val="0"/>
              </w:rPr>
              <w:t xml:space="preserve"> 12 meses, contados a partir da data de sua assinatura, podendo ser prorrogado pelo dobro do tempo pactuado, mediante acordo entre as partes, excetuadas as prorrogações de ofício por atraso na liberação dos recursos.</w:t>
            </w:r>
          </w:p>
          <w:p w:rsidR="00000000" w:rsidDel="00000000" w:rsidP="00000000" w:rsidRDefault="00000000" w:rsidRPr="00000000" w14:paraId="000000C6">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10.2 A vigência do TCC poderá ser alterada mediante solicitação da entidade cultural, a ser apresentada à administração pública em, no mínimo, trinta dias antes do término de sua vigência.</w:t>
            </w:r>
          </w:p>
          <w:p w:rsidR="00000000" w:rsidDel="00000000" w:rsidP="00000000" w:rsidRDefault="00000000" w:rsidRPr="00000000" w14:paraId="000000C7">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10.3 A prorrogação de ofício da vigência do instrumento deve ser feita pela administração pública, antes do seu término, quando ela der causa a atraso na liberação dos recursos, limitada ao exato período do atraso verificado.</w:t>
            </w:r>
          </w:p>
        </w:tc>
      </w:tr>
    </w:tbl>
    <w:p w:rsidR="00000000" w:rsidDel="00000000" w:rsidP="00000000" w:rsidRDefault="00000000" w:rsidRPr="00000000" w14:paraId="000000C8">
      <w:pPr>
        <w:ind w:left="0" w:hanging="2"/>
        <w:rPr>
          <w:rFonts w:ascii="Arial" w:cs="Arial" w:eastAsia="Arial" w:hAnsi="Arial"/>
        </w:rPr>
      </w:pPr>
      <w:r w:rsidDel="00000000" w:rsidR="00000000" w:rsidRPr="00000000">
        <w:rPr>
          <w:rtl w:val="0"/>
        </w:rPr>
      </w:r>
    </w:p>
    <w:tbl>
      <w:tblPr>
        <w:tblStyle w:val="Table11"/>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11. </w:t>
            </w:r>
            <w:r w:rsidDel="00000000" w:rsidR="00000000" w:rsidRPr="00000000">
              <w:rPr>
                <w:rFonts w:ascii="Arial" w:cs="Arial" w:eastAsia="Arial" w:hAnsi="Arial"/>
                <w:b w:val="1"/>
                <w:bCs w:val="1"/>
                <w:rtl w:val="0"/>
              </w:rPr>
              <w:t xml:space="preserve">DA RESCISÃO</w:t>
            </w:r>
          </w:p>
        </w:tc>
      </w:tr>
      <w:tr>
        <w:trPr>
          <w:cantSplit w:val="0"/>
          <w:trHeight w:val="22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CA">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11.1 É facultado ao Ente Público e à entidade cultural rescindirem este TCC, a qualquer tempo, com as respectivas condições, sanções e delimitações claras de responsabilidades, além da estipulação de prazo mínimo de antecedência para a publicidade dessa intenção, que não poderá ser inferior a 60 (sessenta) dias.</w:t>
            </w:r>
          </w:p>
          <w:p w:rsidR="00000000" w:rsidDel="00000000" w:rsidP="00000000" w:rsidRDefault="00000000" w:rsidRPr="00000000" w14:paraId="000000CB">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11.2 O Ente Público deverá rescindir este TCC caso seja cancelada a certificação simplificada do </w:t>
            </w:r>
            <w:r w:rsidDel="00000000" w:rsidR="00000000" w:rsidRPr="00000000">
              <w:rPr>
                <w:rFonts w:ascii="Arial" w:cs="Arial" w:eastAsia="Arial" w:hAnsi="Arial"/>
                <w:shd w:fill="6fa8dc" w:val="clear"/>
                <w:rtl w:val="0"/>
              </w:rPr>
              <w:t xml:space="preserve">Ponto</w:t>
            </w:r>
            <w:r w:rsidDel="00000000" w:rsidR="00000000" w:rsidRPr="00000000">
              <w:rPr>
                <w:rFonts w:ascii="Arial" w:cs="Arial" w:eastAsia="Arial" w:hAnsi="Arial"/>
                <w:rtl w:val="0"/>
              </w:rPr>
              <w:t xml:space="preserve">, respeitados os atos jurídicos perfeitos, na forma do art. 11 da Instrução Normativa/MinC nº 8/2016.</w:t>
            </w:r>
          </w:p>
          <w:p w:rsidR="00000000" w:rsidDel="00000000" w:rsidP="00000000" w:rsidRDefault="00000000" w:rsidRPr="00000000" w14:paraId="000000CC">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11.3 A Entidade Cultural deverá devolver ao Ente Público os saldos financeiros remanescentes, inclusive os provenientes das receitas obtidas das aplicações financeiras realizadas, no prazo de trinta dias após a conclusão, rescisão ou extinção da parceria, sob pena de adoção de medidas cabíveis para ressarcimento ao erário.</w:t>
            </w:r>
          </w:p>
          <w:p w:rsidR="00000000" w:rsidDel="00000000" w:rsidP="00000000" w:rsidRDefault="00000000" w:rsidRPr="00000000" w14:paraId="000000CD">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11.4 Havendo rescisão, a entidade cultural fica obrigada a prestar contas de tudo que fora executado até a data da rescisão, observado o prazo e regras da Seção 7.</w:t>
            </w:r>
          </w:p>
        </w:tc>
      </w:tr>
    </w:tbl>
    <w:p w:rsidR="00000000" w:rsidDel="00000000" w:rsidP="00000000" w:rsidRDefault="00000000" w:rsidRPr="00000000" w14:paraId="000000CE">
      <w:pPr>
        <w:ind w:left="0" w:hanging="2"/>
        <w:rPr>
          <w:rFonts w:ascii="Arial" w:cs="Arial" w:eastAsia="Arial" w:hAnsi="Arial"/>
        </w:rPr>
      </w:pPr>
      <w:r w:rsidDel="00000000" w:rsidR="00000000" w:rsidRPr="00000000">
        <w:rPr>
          <w:rtl w:val="0"/>
        </w:rPr>
      </w:r>
    </w:p>
    <w:tbl>
      <w:tblPr>
        <w:tblStyle w:val="Table12"/>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12. DA PUBLICAÇÃO</w:t>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D0">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O Ente Público publicará extrato deste TCC no meio oficial de publicidade da administração pública, após a assinatura, para que se inicie a produção de seus efeitos.</w:t>
            </w:r>
          </w:p>
        </w:tc>
      </w:tr>
    </w:tbl>
    <w:p w:rsidR="00000000" w:rsidDel="00000000" w:rsidP="00000000" w:rsidRDefault="00000000" w:rsidRPr="00000000" w14:paraId="000000D1">
      <w:pPr>
        <w:ind w:left="0" w:hanging="2"/>
        <w:rPr>
          <w:rFonts w:ascii="Arial" w:cs="Arial" w:eastAsia="Arial" w:hAnsi="Arial"/>
        </w:rPr>
      </w:pPr>
      <w:r w:rsidDel="00000000" w:rsidR="00000000" w:rsidRPr="00000000">
        <w:rPr>
          <w:rtl w:val="0"/>
        </w:rPr>
      </w:r>
    </w:p>
    <w:tbl>
      <w:tblPr>
        <w:tblStyle w:val="Table13"/>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13. DO FORO</w:t>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D3">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As partes comprometem-se a submeter eventuais controvérsias decorrentes do presente ajuste à prévia tentativa de solução administrativa. As controvérsias que não possam ser resolvidas administrativamente serão submetidas ao foro da Justiça </w:t>
            </w:r>
            <w:r w:rsidDel="00000000" w:rsidR="00000000" w:rsidRPr="00000000">
              <w:rPr>
                <w:rFonts w:ascii="Arial" w:cs="Arial" w:eastAsia="Arial" w:hAnsi="Arial"/>
                <w:rtl w:val="0"/>
              </w:rPr>
              <w:t xml:space="preserve">de Caraguatatuba – SP.</w:t>
            </w:r>
          </w:p>
        </w:tc>
      </w:tr>
    </w:tbl>
    <w:p w:rsidR="00000000" w:rsidDel="00000000" w:rsidP="00000000" w:rsidRDefault="00000000" w:rsidRPr="00000000" w14:paraId="000000D4">
      <w:pPr>
        <w:ind w:left="0" w:hanging="2"/>
        <w:rPr>
          <w:rFonts w:ascii="Arial" w:cs="Arial" w:eastAsia="Arial" w:hAnsi="Arial"/>
        </w:rPr>
      </w:pPr>
      <w:r w:rsidDel="00000000" w:rsidR="00000000" w:rsidRPr="00000000">
        <w:rPr>
          <w:rtl w:val="0"/>
        </w:rPr>
      </w:r>
    </w:p>
    <w:tbl>
      <w:tblPr>
        <w:tblStyle w:val="Table14"/>
        <w:tblW w:w="99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12"/>
        <w:gridCol w:w="5160"/>
        <w:tblGridChange w:id="0">
          <w:tblGrid>
            <w:gridCol w:w="4812"/>
            <w:gridCol w:w="5160"/>
          </w:tblGrid>
        </w:tblGridChange>
      </w:tblGrid>
      <w:tr>
        <w:trPr>
          <w:cantSplit w:val="0"/>
          <w:trHeight w:val="525" w:hRule="atLeast"/>
          <w:tblHeader w:val="0"/>
        </w:trPr>
        <w:tc>
          <w:tcPr>
            <w:gridSpan w:val="2"/>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120" w:before="120" w:line="240" w:lineRule="auto"/>
              <w:ind w:left="0" w:hanging="2"/>
              <w:jc w:val="both"/>
              <w:rPr>
                <w:rFonts w:ascii="Arial" w:cs="Arial" w:eastAsia="Arial" w:hAnsi="Arial"/>
                <w:b w:val="1"/>
                <w:bCs w:val="1"/>
              </w:rPr>
            </w:pPr>
            <w:r w:rsidDel="00000000" w:rsidR="00000000" w:rsidRPr="00000000">
              <w:rPr>
                <w:rFonts w:ascii="Arial" w:cs="Arial" w:eastAsia="Arial" w:hAnsi="Arial"/>
                <w:b w:val="1"/>
                <w:bCs w:val="1"/>
                <w:rtl w:val="0"/>
              </w:rPr>
              <w:t xml:space="preserve">14. </w:t>
            </w:r>
            <w:r w:rsidDel="00000000" w:rsidR="00000000" w:rsidRPr="00000000">
              <w:rPr>
                <w:rFonts w:ascii="Arial" w:cs="Arial" w:eastAsia="Arial" w:hAnsi="Arial"/>
                <w:b w:val="1"/>
                <w:bCs w:val="1"/>
                <w:rtl w:val="0"/>
              </w:rPr>
              <w:t xml:space="preserve">DATA E ASSINATURAS</w:t>
            </w:r>
          </w:p>
        </w:tc>
      </w:tr>
      <w:tr>
        <w:trPr>
          <w:cantSplit w:val="0"/>
          <w:trHeight w:val="85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D7">
            <w:pPr>
              <w:spacing w:after="120" w:before="120" w:line="240" w:lineRule="auto"/>
              <w:ind w:left="0" w:hanging="2"/>
              <w:jc w:val="both"/>
              <w:rPr>
                <w:rFonts w:ascii="Arial" w:cs="Arial" w:eastAsia="Arial" w:hAnsi="Arial"/>
              </w:rPr>
            </w:pPr>
            <w:r w:rsidDel="00000000" w:rsidR="00000000" w:rsidRPr="00000000">
              <w:rPr>
                <w:rFonts w:ascii="Arial" w:cs="Arial" w:eastAsia="Arial" w:hAnsi="Arial"/>
                <w:rtl w:val="0"/>
              </w:rPr>
              <w:t xml:space="preserve">E, por assim estarem plenamente de acordo, as partes obrigam-se ao total cumprimento dos termos do presente instrumento.</w:t>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D9">
            <w:pPr>
              <w:spacing w:after="120" w:before="120" w:line="240" w:lineRule="auto"/>
              <w:ind w:left="0" w:hanging="2"/>
              <w:jc w:val="center"/>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i w:val="1"/>
                <w:iCs w:val="1"/>
                <w:rtl w:val="0"/>
              </w:rPr>
              <w:t xml:space="preserve">assinado eletronicamente</w:t>
            </w:r>
            <w:r w:rsidDel="00000000" w:rsidR="00000000" w:rsidRPr="00000000">
              <w:rPr>
                <w:rFonts w:ascii="Arial" w:cs="Arial" w:eastAsia="Arial" w:hAnsi="Arial"/>
                <w:rtl w:val="0"/>
              </w:rPr>
              <w:t xml:space="preserve">)</w:t>
            </w:r>
          </w:p>
          <w:p w:rsidR="00000000" w:rsidDel="00000000" w:rsidP="00000000" w:rsidRDefault="00000000" w:rsidRPr="00000000" w14:paraId="000000DA">
            <w:pPr>
              <w:spacing w:after="120" w:before="120" w:line="240" w:lineRule="auto"/>
              <w:ind w:left="0" w:hanging="2"/>
              <w:jc w:val="center"/>
              <w:rPr>
                <w:rFonts w:ascii="Arial" w:cs="Arial" w:eastAsia="Arial" w:hAnsi="Arial"/>
                <w:b w:val="1"/>
                <w:bCs w:val="1"/>
              </w:rPr>
            </w:pPr>
            <w:r w:rsidDel="00000000" w:rsidR="00000000" w:rsidRPr="00000000">
              <w:rPr>
                <w:rFonts w:ascii="Arial" w:cs="Arial" w:eastAsia="Arial" w:hAnsi="Arial"/>
                <w:b w:val="1"/>
                <w:bCs w:val="1"/>
                <w:rtl w:val="0"/>
              </w:rPr>
              <w:t xml:space="preserve">NOME</w:t>
            </w:r>
          </w:p>
          <w:p w:rsidR="00000000" w:rsidDel="00000000" w:rsidP="00000000" w:rsidRDefault="00000000" w:rsidRPr="00000000" w14:paraId="000000DB">
            <w:pPr>
              <w:spacing w:after="120" w:before="120" w:line="240" w:lineRule="auto"/>
              <w:ind w:left="0" w:hanging="2"/>
              <w:jc w:val="center"/>
              <w:rPr>
                <w:rFonts w:ascii="Arial" w:cs="Arial" w:eastAsia="Arial" w:hAnsi="Arial"/>
              </w:rPr>
            </w:pPr>
            <w:r w:rsidDel="00000000" w:rsidR="00000000" w:rsidRPr="00000000">
              <w:rPr>
                <w:rFonts w:ascii="Arial" w:cs="Arial" w:eastAsia="Arial" w:hAnsi="Arial"/>
                <w:rtl w:val="0"/>
              </w:rPr>
              <w:t xml:space="preserve">CARGO</w:t>
            </w:r>
          </w:p>
          <w:p w:rsidR="00000000" w:rsidDel="00000000" w:rsidP="00000000" w:rsidRDefault="00000000" w:rsidRPr="00000000" w14:paraId="000000DC">
            <w:pPr>
              <w:spacing w:after="120" w:before="120" w:line="240" w:lineRule="auto"/>
              <w:ind w:left="0" w:hanging="2"/>
              <w:jc w:val="center"/>
              <w:rPr>
                <w:rFonts w:ascii="Arial" w:cs="Arial" w:eastAsia="Arial" w:hAnsi="Arial"/>
              </w:rPr>
            </w:pPr>
            <w:r w:rsidDel="00000000" w:rsidR="00000000" w:rsidRPr="00000000">
              <w:rPr>
                <w:rFonts w:ascii="Arial" w:cs="Arial" w:eastAsia="Arial" w:hAnsi="Arial"/>
                <w:rtl w:val="0"/>
              </w:rPr>
              <w:t xml:space="preserve">Representante legal da entidade cultural</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D">
            <w:pPr>
              <w:spacing w:after="120" w:before="120" w:line="240" w:lineRule="auto"/>
              <w:ind w:left="0" w:hanging="2"/>
              <w:jc w:val="center"/>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assinado eletronicamente</w:t>
            </w:r>
            <w:r w:rsidDel="00000000" w:rsidR="00000000" w:rsidRPr="00000000">
              <w:rPr>
                <w:rFonts w:ascii="Arial" w:cs="Arial" w:eastAsia="Arial" w:hAnsi="Arial"/>
                <w:rtl w:val="0"/>
              </w:rPr>
              <w:t xml:space="preserve">)</w:t>
            </w:r>
          </w:p>
          <w:p w:rsidR="00000000" w:rsidDel="00000000" w:rsidP="00000000" w:rsidRDefault="00000000" w:rsidRPr="00000000" w14:paraId="000000DE">
            <w:pPr>
              <w:spacing w:after="120" w:before="120" w:line="240" w:lineRule="auto"/>
              <w:ind w:left="0" w:hanging="2"/>
              <w:jc w:val="center"/>
              <w:rPr>
                <w:rFonts w:ascii="Arial" w:cs="Arial" w:eastAsia="Arial" w:hAnsi="Arial"/>
              </w:rPr>
            </w:pPr>
            <w:r w:rsidDel="00000000" w:rsidR="00000000" w:rsidRPr="00000000">
              <w:rPr>
                <w:rFonts w:ascii="Arial" w:cs="Arial" w:eastAsia="Arial" w:hAnsi="Arial"/>
                <w:rtl w:val="0"/>
              </w:rPr>
              <w:t xml:space="preserve">Representante legal do órgão ou entidade pública</w:t>
            </w:r>
          </w:p>
        </w:tc>
      </w:tr>
    </w:tbl>
    <w:p w:rsidR="00000000" w:rsidDel="00000000" w:rsidP="00000000" w:rsidRDefault="00000000" w:rsidRPr="00000000" w14:paraId="000000DF">
      <w:pPr>
        <w:spacing w:after="120" w:before="120" w:line="240" w:lineRule="auto"/>
        <w:ind w:left="0" w:hanging="2"/>
        <w:jc w:val="both"/>
        <w:rPr>
          <w:rFonts w:ascii="Arial" w:cs="Arial" w:eastAsia="Arial" w:hAnsi="Arial"/>
        </w:rPr>
      </w:pPr>
      <w:r w:rsidDel="00000000" w:rsidR="00000000" w:rsidRPr="00000000">
        <w:rPr>
          <w:rtl w:val="0"/>
        </w:rPr>
      </w:r>
    </w:p>
    <w:sectPr>
      <w:headerReference r:id="rId23" w:type="default"/>
      <w:headerReference r:id="rId24" w:type="first"/>
      <w:headerReference r:id="rId25" w:type="even"/>
      <w:footerReference r:id="rId26" w:type="default"/>
      <w:footerReference r:id="rId27" w:type="first"/>
      <w:footerReference r:id="rId28" w:type="even"/>
      <w:pgSz w:h="15840" w:w="12240" w:orient="portrait"/>
      <w:pgMar w:bottom="1133" w:top="1984" w:left="1133" w:right="1133" w:header="566"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jc w:val="right"/>
      <w:rPr>
        <w:color w:val="000000"/>
        <w:sz w:val="16"/>
        <w:szCs w:val="16"/>
      </w:rPr>
    </w:pPr>
    <w:r w:rsidDel="00000000" w:rsidR="00000000" w:rsidRPr="00000000">
      <w:rPr>
        <w:color w:val="000000"/>
        <w:sz w:val="16"/>
        <w:szCs w:val="16"/>
        <w:rtl w:val="0"/>
      </w:rPr>
      <w:t xml:space="preserve">Página </w:t>
    </w:r>
    <w:r w:rsidDel="00000000" w:rsidR="00000000" w:rsidRPr="00000000">
      <w:rPr>
        <w:b w:val="1"/>
        <w:bCs w:val="1"/>
        <w:color w:val="000000"/>
        <w:sz w:val="16"/>
        <w:szCs w:val="16"/>
      </w:rPr>
      <w:fldChar w:fldCharType="begin"/>
      <w:instrText xml:space="preserve">PAGE</w:instrText>
      <w:fldChar w:fldCharType="separate"/>
      <w:fldChar w:fldCharType="end"/>
    </w:r>
    <w:r w:rsidDel="00000000" w:rsidR="00000000" w:rsidRPr="00000000">
      <w:rPr>
        <w:color w:val="000000"/>
        <w:sz w:val="16"/>
        <w:szCs w:val="16"/>
        <w:rtl w:val="0"/>
      </w:rPr>
      <w:t xml:space="preserve"> de </w:t>
    </w:r>
    <w:r w:rsidDel="00000000" w:rsidR="00000000" w:rsidRPr="00000000">
      <w:rPr>
        <w:b w:val="1"/>
        <w:bCs w:val="1"/>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E6">
    <w:pPr>
      <w:tabs>
        <w:tab w:val="center" w:leader="none" w:pos="0"/>
      </w:tabs>
      <w:spacing w:after="0" w:line="240" w:lineRule="auto"/>
      <w:ind w:left="0" w:hanging="2"/>
      <w:jc w:val="both"/>
      <w:rPr>
        <w:i w:val="1"/>
        <w:iCs w:val="1"/>
        <w:color w:val="ff0000"/>
        <w:sz w:val="20"/>
        <w:szCs w:val="2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4581525</wp:posOffset>
          </wp:positionH>
          <wp:positionV relativeFrom="paragraph">
            <wp:posOffset>23625</wp:posOffset>
          </wp:positionV>
          <wp:extent cx="882015" cy="739140"/>
          <wp:effectExtent b="0" l="0" r="0" t="0"/>
          <wp:wrapNone/>
          <wp:docPr descr="Fundo preto com letras brancas&#10;&#10;O conteúdo gerado por IA pode estar incorreto." id="6" name="image5.png"/>
          <a:graphic>
            <a:graphicData uri="http://schemas.openxmlformats.org/drawingml/2006/picture">
              <pic:pic>
                <pic:nvPicPr>
                  <pic:cNvPr descr="Fundo preto com letras brancas&#10;&#10;O conteúdo gerado por IA pode estar incorreto." id="0" name="image5.png"/>
                  <pic:cNvPicPr preferRelativeResize="0"/>
                </pic:nvPicPr>
                <pic:blipFill>
                  <a:blip r:embed="rId1"/>
                  <a:srcRect b="0" l="64784" r="20738" t="91487"/>
                  <a:stretch>
                    <a:fillRect/>
                  </a:stretch>
                </pic:blipFill>
                <pic:spPr>
                  <a:xfrm>
                    <a:off x="0" y="0"/>
                    <a:ext cx="882015" cy="73914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-361948</wp:posOffset>
          </wp:positionH>
          <wp:positionV relativeFrom="paragraph">
            <wp:posOffset>80775</wp:posOffset>
          </wp:positionV>
          <wp:extent cx="1201567" cy="624078"/>
          <wp:effectExtent b="0" l="0" r="0" t="0"/>
          <wp:wrapNone/>
          <wp:docPr descr="Logotipo&#10;&#10;O conteúdo gerado por IA pode estar incorreto." id="3" name="image2.png"/>
          <a:graphic>
            <a:graphicData uri="http://schemas.openxmlformats.org/drawingml/2006/picture">
              <pic:pic>
                <pic:nvPicPr>
                  <pic:cNvPr descr="Logotipo&#10;&#10;O conteúdo gerado por IA pode estar incorreto." id="0" name="image2.png"/>
                  <pic:cNvPicPr preferRelativeResize="0"/>
                </pic:nvPicPr>
                <pic:blipFill>
                  <a:blip r:embed="rId2"/>
                  <a:srcRect b="0" l="0" r="0" t="0"/>
                  <a:stretch>
                    <a:fillRect/>
                  </a:stretch>
                </pic:blipFill>
                <pic:spPr>
                  <a:xfrm>
                    <a:off x="0" y="0"/>
                    <a:ext cx="1201567" cy="624078"/>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5610225</wp:posOffset>
          </wp:positionH>
          <wp:positionV relativeFrom="paragraph">
            <wp:posOffset>0</wp:posOffset>
          </wp:positionV>
          <wp:extent cx="1153265" cy="681903"/>
          <wp:effectExtent b="0" l="0" r="0" t="0"/>
          <wp:wrapNone/>
          <wp:docPr descr="Logotipo&#10;&#10;O conteúdo gerado por IA pode estar incorreto." id="5" name="image6.png"/>
          <a:graphic>
            <a:graphicData uri="http://schemas.openxmlformats.org/drawingml/2006/picture">
              <pic:pic>
                <pic:nvPicPr>
                  <pic:cNvPr descr="Logotipo&#10;&#10;O conteúdo gerado por IA pode estar incorreto." id="0" name="image6.png"/>
                  <pic:cNvPicPr preferRelativeResize="0"/>
                </pic:nvPicPr>
                <pic:blipFill>
                  <a:blip r:embed="rId3"/>
                  <a:srcRect b="0" l="0" r="0" t="0"/>
                  <a:stretch>
                    <a:fillRect/>
                  </a:stretch>
                </pic:blipFill>
                <pic:spPr>
                  <a:xfrm>
                    <a:off x="0" y="0"/>
                    <a:ext cx="1153265" cy="68190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3810000</wp:posOffset>
          </wp:positionH>
          <wp:positionV relativeFrom="paragraph">
            <wp:posOffset>142687</wp:posOffset>
          </wp:positionV>
          <wp:extent cx="723066" cy="509001"/>
          <wp:effectExtent b="0" l="0" r="0" t="0"/>
          <wp:wrapNone/>
          <wp:docPr descr="Logotipo&#10;&#10;O conteúdo gerado por IA pode estar incorreto." id="4" name="image3.png"/>
          <a:graphic>
            <a:graphicData uri="http://schemas.openxmlformats.org/drawingml/2006/picture">
              <pic:pic>
                <pic:nvPicPr>
                  <pic:cNvPr descr="Logotipo&#10;&#10;O conteúdo gerado por IA pode estar incorreto." id="0" name="image3.png"/>
                  <pic:cNvPicPr preferRelativeResize="0"/>
                </pic:nvPicPr>
                <pic:blipFill>
                  <a:blip r:embed="rId4"/>
                  <a:srcRect b="0" l="0" r="0" t="0"/>
                  <a:stretch>
                    <a:fillRect/>
                  </a:stretch>
                </pic:blipFill>
                <pic:spPr>
                  <a:xfrm>
                    <a:off x="0" y="0"/>
                    <a:ext cx="723066" cy="509001"/>
                  </a:xfrm>
                  <a:prstGeom prst="rect"/>
                  <a:ln/>
                </pic:spPr>
              </pic:pic>
            </a:graphicData>
          </a:graphic>
        </wp:anchor>
      </w:drawing>
    </w:r>
  </w:p>
  <w:p w:rsidR="00000000" w:rsidDel="00000000" w:rsidP="00000000" w:rsidRDefault="00000000" w:rsidRPr="00000000" w14:paraId="000000E7">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942975</wp:posOffset>
          </wp:positionH>
          <wp:positionV relativeFrom="paragraph">
            <wp:posOffset>8891</wp:posOffset>
          </wp:positionV>
          <wp:extent cx="2694432" cy="432816"/>
          <wp:effectExtent b="0" l="0" r="0" t="0"/>
          <wp:wrapNone/>
          <wp:docPr id="2" name="image4.jpg"/>
          <a:graphic>
            <a:graphicData uri="http://schemas.openxmlformats.org/drawingml/2006/picture">
              <pic:pic>
                <pic:nvPicPr>
                  <pic:cNvPr id="0" name="image4.jpg"/>
                  <pic:cNvPicPr preferRelativeResize="0"/>
                </pic:nvPicPr>
                <pic:blipFill>
                  <a:blip r:embed="rId5"/>
                  <a:srcRect b="0" l="0" r="50319" t="0"/>
                  <a:stretch>
                    <a:fillRect/>
                  </a:stretch>
                </pic:blipFill>
                <pic:spPr>
                  <a:xfrm>
                    <a:off x="0" y="0"/>
                    <a:ext cx="2694432" cy="432816"/>
                  </a:xfrm>
                  <a:prstGeom prst="rect"/>
                  <a:ln/>
                </pic:spPr>
              </pic:pic>
            </a:graphicData>
          </a:graphic>
        </wp:anchor>
      </w:drawing>
    </w:r>
  </w:p>
  <w:p w:rsidR="00000000" w:rsidDel="00000000" w:rsidP="00000000" w:rsidRDefault="00000000" w:rsidRPr="00000000" w14:paraId="000000E8">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tabs>
        <w:tab w:val="center" w:leader="none" w:pos="4252"/>
        <w:tab w:val="right" w:leader="none" w:pos="8504"/>
      </w:tabs>
      <w:spacing w:after="0" w:line="240" w:lineRule="auto"/>
      <w:ind w:firstLine="0"/>
      <w:rPr>
        <w:rFonts w:ascii="Arial" w:cs="Arial" w:eastAsia="Arial" w:hAnsi="Arial"/>
      </w:rPr>
    </w:pPr>
    <w:r w:rsidDel="00000000" w:rsidR="00000000" w:rsidRPr="00000000">
      <w:rPr/>
      <w:drawing>
        <wp:inline distB="114300" distT="114300" distL="114300" distR="114300">
          <wp:extent cx="2257425" cy="92392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57425" cy="923925"/>
                  </a:xfrm>
                  <a:prstGeom prst="rect"/>
                  <a:ln/>
                </pic:spPr>
              </pic:pic>
            </a:graphicData>
          </a:graphic>
        </wp:inline>
      </w:drawing>
    </w:r>
    <w:r w:rsidDel="00000000" w:rsidR="00000000" w:rsidRPr="00000000">
      <w:rPr>
        <w:rtl w:val="0"/>
      </w:rPr>
    </w:r>
  </w:p>
  <w:p w:rsidR="00000000" w:rsidDel="00000000" w:rsidP="00000000" w:rsidRDefault="00000000" w:rsidRPr="00000000" w14:paraId="000000E2">
    <w:pPr>
      <w:ind w:left="0" w:hanging="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planalto.gov.br/ccivil_03/_ato2023-2026/2023/decreto/D11453.htm" TargetMode="External"/><Relationship Id="rId22" Type="http://schemas.openxmlformats.org/officeDocument/2006/relationships/hyperlink" Target="https://www.planalto.gov.br/ccivil_03/_ato2023-2026/2024/lei/L14903.htm" TargetMode="External"/><Relationship Id="rId21" Type="http://schemas.openxmlformats.org/officeDocument/2006/relationships/hyperlink" Target="https://www.planalto.gov.br/ccivil_03/_ato2023-2026/2023/decreto/D11453.htm" TargetMode="External"/><Relationship Id="rId24" Type="http://schemas.openxmlformats.org/officeDocument/2006/relationships/header" Target="header3.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lanalto.gov.br/ccivil_03/_ato2023-2026/2023/decreto/D11740.htm" TargetMode="External"/><Relationship Id="rId26" Type="http://schemas.openxmlformats.org/officeDocument/2006/relationships/footer" Target="footer2.xml"/><Relationship Id="rId25" Type="http://schemas.openxmlformats.org/officeDocument/2006/relationships/header" Target="header1.xml"/><Relationship Id="rId28" Type="http://schemas.openxmlformats.org/officeDocument/2006/relationships/footer" Target="footer1.xml"/><Relationship Id="rId27"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planalto.gov.br/ccivil_03/_ato2019-2022/2022/lei/l14399.htm" TargetMode="External"/><Relationship Id="rId8" Type="http://schemas.openxmlformats.org/officeDocument/2006/relationships/hyperlink" Target="https://www.planalto.gov.br/ccivil_03/_ato2023-2026/2023/decreto/D11740.htm" TargetMode="External"/><Relationship Id="rId11" Type="http://schemas.openxmlformats.org/officeDocument/2006/relationships/hyperlink" Target="https://www.in.gov.br/web/dou/-/portaria-minc-n-80-de-27-de-outubro-de-2023-519652245" TargetMode="External"/><Relationship Id="rId10" Type="http://schemas.openxmlformats.org/officeDocument/2006/relationships/hyperlink" Target="https://www.in.gov.br/web/dou/-/portaria-minc-n-200-de-11-de-abril-de-2025-623760804" TargetMode="External"/><Relationship Id="rId13" Type="http://schemas.openxmlformats.org/officeDocument/2006/relationships/hyperlink" Target="https://www.in.gov.br/web/dou/-/portaria-minc-n-80-de-27-de-outubro-de-2023-519652245" TargetMode="External"/><Relationship Id="rId12" Type="http://schemas.openxmlformats.org/officeDocument/2006/relationships/hyperlink" Target="https://www.in.gov.br/en/web/dou/-/portaria-minc-n-206-de-13-de-maio-de-2025-629208189" TargetMode="External"/><Relationship Id="rId15" Type="http://schemas.openxmlformats.org/officeDocument/2006/relationships/hyperlink" Target="https://www.planalto.gov.br/ccivil_03/_ato2011-2014/2014/lei/l13018.htm" TargetMode="External"/><Relationship Id="rId14" Type="http://schemas.openxmlformats.org/officeDocument/2006/relationships/hyperlink" Target="https://www.planalto.gov.br/ccivil_03/_ato2011-2014/2014/lei/l13018.htm" TargetMode="External"/><Relationship Id="rId17" Type="http://schemas.openxmlformats.org/officeDocument/2006/relationships/hyperlink" Target="https://www.gov.br/cultura/pt-br/acesso-a-informacao/legislacao-e-normativas/instrucao-normativa-minc-no-1-de-7-de-abril-de-2015-1" TargetMode="External"/><Relationship Id="rId16" Type="http://schemas.openxmlformats.org/officeDocument/2006/relationships/hyperlink" Target="https://www.gov.br/cultura/pt-br/acesso-a-informacao/legislacao-e-normativas/instrucao-normativa-minc-no-1-de-7-de-abril-de-2015-1" TargetMode="External"/><Relationship Id="rId19" Type="http://schemas.openxmlformats.org/officeDocument/2006/relationships/hyperlink" Target="https://www.in.gov.br/en/web/dou/-/instrucao-normativa-minc-n-12-de-28-de-maio-de-2024-562732255" TargetMode="External"/><Relationship Id="rId18" Type="http://schemas.openxmlformats.org/officeDocument/2006/relationships/hyperlink" Target="https://www.in.gov.br/en/web/dou/-/instrucao-normativa-minc-n-12-de-28-de-maio-de-2024-562732255"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2.png"/><Relationship Id="rId3" Type="http://schemas.openxmlformats.org/officeDocument/2006/relationships/image" Target="media/image6.png"/><Relationship Id="rId4" Type="http://schemas.openxmlformats.org/officeDocument/2006/relationships/image" Target="media/image3.png"/><Relationship Id="rId5"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orityGwy2wqC0jnDyCuJcIGq4Q==">CgMxLjA4AHIhMVNONm1aZkdSazJ0TVhBdkpuZU1ldTdlbXRtNl9rOXht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