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CHAMAMENTO PÚBLICO </w:t>
      </w:r>
      <w:r w:rsidDel="00000000" w:rsidR="00000000" w:rsidRPr="00000000">
        <w:rPr>
          <w:b w:val="1"/>
          <w:bCs w:val="1"/>
          <w:rtl w:val="0"/>
        </w:rPr>
        <w:t xml:space="preserve">32/2026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REDE MUNICIPAL DE PONTOS DE CULTURA DE CARAGUATATUBA-SP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CULTURA VIVA DO TAMANHO DO BRASIL!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FOMENTO A PROJETOS CONTINUADOS DE PONTOS DE CULTURA</w:t>
      </w:r>
    </w:p>
    <w:p w:rsidR="00000000" w:rsidDel="00000000" w:rsidP="00000000" w:rsidRDefault="00000000" w:rsidRPr="00000000" w14:paraId="00000007">
      <w:pPr>
        <w:shd w:fill="ffffff" w:val="clear"/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0"/>
        </w:tabs>
        <w:spacing w:after="120" w:before="120" w:line="240" w:lineRule="auto"/>
        <w:jc w:val="center"/>
        <w:rPr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ANEXO 10 - CRONOGRAMA</w:t>
      </w:r>
      <w:r w:rsidDel="00000000" w:rsidR="00000000" w:rsidRPr="00000000">
        <w:rPr>
          <w:b w:val="1"/>
          <w:bCs w:val="1"/>
          <w:u w:val="single"/>
          <w:rtl w:val="0"/>
        </w:rPr>
        <w:br w:type="textWrapping"/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0" w:tblpY="0"/>
        <w:tblW w:w="89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5625"/>
        <w:gridCol w:w="3360"/>
        <w:tblGridChange w:id="0">
          <w:tblGrid>
            <w:gridCol w:w="5625"/>
            <w:gridCol w:w="33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widowControl w:val="0"/>
              <w:tabs>
                <w:tab w:val="left" w:leader="none" w:pos="906"/>
                <w:tab w:val="left" w:leader="none" w:pos="7938"/>
              </w:tabs>
              <w:spacing w:after="160" w:line="36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ATIVIDADE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widowControl w:val="0"/>
              <w:spacing w:after="160"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PERÍODO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Inscrições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14/08/2026 a 24/09/2026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Análise da Etapa de Seleção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160" w:line="360" w:lineRule="auto"/>
              <w:rPr/>
            </w:pPr>
            <w:r w:rsidDel="00000000" w:rsidR="00000000" w:rsidRPr="00000000">
              <w:rPr>
                <w:rtl w:val="0"/>
              </w:rPr>
              <w:t xml:space="preserve">28/09/2026 a 14/10/2026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/>
            </w:pPr>
            <w:r w:rsidDel="00000000" w:rsidR="00000000" w:rsidRPr="00000000">
              <w:rPr>
                <w:rtl w:val="0"/>
              </w:rPr>
              <w:t xml:space="preserve">Convocação para a Banca de Heteroidentificação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160" w:line="360" w:lineRule="auto"/>
              <w:rPr/>
            </w:pPr>
            <w:r w:rsidDel="00000000" w:rsidR="00000000" w:rsidRPr="00000000">
              <w:rPr>
                <w:rtl w:val="0"/>
              </w:rPr>
              <w:t xml:space="preserve">09/10/2026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/>
            </w:pPr>
            <w:r w:rsidDel="00000000" w:rsidR="00000000" w:rsidRPr="00000000">
              <w:rPr>
                <w:rtl w:val="0"/>
              </w:rPr>
              <w:t xml:space="preserve">Realização da Banca de Heteroidentificação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160" w:line="360" w:lineRule="auto"/>
              <w:rPr/>
            </w:pPr>
            <w:r w:rsidDel="00000000" w:rsidR="00000000" w:rsidRPr="00000000">
              <w:rPr>
                <w:rtl w:val="0"/>
              </w:rPr>
              <w:t xml:space="preserve">10 e 11/10/2026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Resultado Preliminar da Etapa de Seleção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/>
            </w:pPr>
            <w:r w:rsidDel="00000000" w:rsidR="00000000" w:rsidRPr="00000000">
              <w:rPr>
                <w:rtl w:val="0"/>
              </w:rPr>
              <w:t xml:space="preserve">16/10/2026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Interposição de Recurso (Etapa de Seleção)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19 a 21/10/2026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/>
            </w:pPr>
            <w:r w:rsidDel="00000000" w:rsidR="00000000" w:rsidRPr="00000000">
              <w:rPr>
                <w:rtl w:val="0"/>
              </w:rPr>
              <w:t xml:space="preserve">Prazo para Apresentação de Contrarrazões</w:t>
            </w:r>
          </w:p>
        </w:tc>
        <w:tc>
          <w:tcPr/>
          <w:p w:rsidR="00000000" w:rsidDel="00000000" w:rsidP="00000000" w:rsidRDefault="00000000" w:rsidRPr="00000000" w14:paraId="00000018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/>
            </w:pPr>
            <w:r w:rsidDel="00000000" w:rsidR="00000000" w:rsidRPr="00000000">
              <w:rPr>
                <w:rtl w:val="0"/>
              </w:rPr>
              <w:t xml:space="preserve">22 e 23/10/2026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Análise dos Recursos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26 a 30/10/2026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Resultado Final da Etapa de Seleção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03/11/2026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Prazo para enviar e-mail dos documentos de habilitação pelos selecionados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04/11/2026 a 10/11/2026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Análise dos documentos de habilitação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11 a 18/11/2026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Resultado Preliminar da Etapa de Habilitação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20/11/2026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Interposição de Recurso (Etapa de Habilitação)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23 a 26/11/2026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/>
            </w:pPr>
            <w:r w:rsidDel="00000000" w:rsidR="00000000" w:rsidRPr="00000000">
              <w:rPr>
                <w:rtl w:val="0"/>
              </w:rPr>
              <w:t xml:space="preserve">Prazo para Apresentação de Contrarrazões</w:t>
            </w:r>
          </w:p>
        </w:tc>
        <w:tc>
          <w:tcPr/>
          <w:p w:rsidR="00000000" w:rsidDel="00000000" w:rsidP="00000000" w:rsidRDefault="00000000" w:rsidRPr="00000000" w14:paraId="00000026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/>
            </w:pPr>
            <w:r w:rsidDel="00000000" w:rsidR="00000000" w:rsidRPr="00000000">
              <w:rPr>
                <w:rtl w:val="0"/>
              </w:rPr>
              <w:t xml:space="preserve">27 e 30/11/2026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/>
            </w:pPr>
            <w:r w:rsidDel="00000000" w:rsidR="00000000" w:rsidRPr="00000000">
              <w:rPr>
                <w:rtl w:val="0"/>
              </w:rPr>
              <w:t xml:space="preserve">Análise dos Recursos</w:t>
            </w:r>
          </w:p>
        </w:tc>
        <w:tc>
          <w:tcPr/>
          <w:p w:rsidR="00000000" w:rsidDel="00000000" w:rsidP="00000000" w:rsidRDefault="00000000" w:rsidRPr="00000000" w14:paraId="00000028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/>
            </w:pPr>
            <w:r w:rsidDel="00000000" w:rsidR="00000000" w:rsidRPr="00000000">
              <w:rPr>
                <w:rtl w:val="0"/>
              </w:rPr>
              <w:t xml:space="preserve">30/11/2026 a 2/12/2026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/>
            </w:pPr>
            <w:r w:rsidDel="00000000" w:rsidR="00000000" w:rsidRPr="00000000">
              <w:rPr>
                <w:rtl w:val="0"/>
              </w:rPr>
              <w:t xml:space="preserve">Resultado Final da Etapa de Habilitação</w:t>
            </w:r>
          </w:p>
        </w:tc>
        <w:tc>
          <w:tcPr/>
          <w:p w:rsidR="00000000" w:rsidDel="00000000" w:rsidP="00000000" w:rsidRDefault="00000000" w:rsidRPr="00000000" w14:paraId="0000002A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rPr/>
            </w:pPr>
            <w:r w:rsidDel="00000000" w:rsidR="00000000" w:rsidRPr="00000000">
              <w:rPr>
                <w:rtl w:val="0"/>
              </w:rPr>
              <w:t xml:space="preserve">4/12/2026</w:t>
            </w:r>
          </w:p>
        </w:tc>
      </w:tr>
    </w:tbl>
    <w:p w:rsidR="00000000" w:rsidDel="00000000" w:rsidP="00000000" w:rsidRDefault="00000000" w:rsidRPr="00000000" w14:paraId="0000002B">
      <w:pPr>
        <w:tabs>
          <w:tab w:val="left" w:leader="none" w:pos="906"/>
          <w:tab w:val="left" w:leader="none" w:pos="7938"/>
        </w:tabs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133" w:top="1133" w:left="850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tabs>
        <w:tab w:val="center" w:leader="none" w:pos="0"/>
      </w:tabs>
      <w:spacing w:line="240" w:lineRule="auto"/>
      <w:ind w:left="1440" w:firstLine="0"/>
      <w:jc w:val="both"/>
      <w:rPr>
        <w:rFonts w:ascii="Calibri" w:cs="Calibri" w:eastAsia="Calibri" w:hAnsi="Calibri"/>
        <w:i w:val="1"/>
        <w:iCs w:val="1"/>
        <w:color w:val="ff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rPr/>
    </w:pPr>
    <w:r w:rsidDel="00000000" w:rsidR="00000000" w:rsidRPr="00000000">
      <w:rPr/>
      <w:drawing>
        <wp:inline distB="114300" distT="114300" distL="114300" distR="114300">
          <wp:extent cx="6480500" cy="63500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80500" cy="635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                                                                                                                                              </w:t>
    </w:r>
  </w:p>
  <w:p w:rsidR="00000000" w:rsidDel="00000000" w:rsidP="00000000" w:rsidRDefault="00000000" w:rsidRPr="00000000" w14:paraId="00000030">
    <w:pPr>
      <w:tabs>
        <w:tab w:val="left" w:leader="none" w:pos="2385"/>
      </w:tabs>
      <w:rPr/>
    </w:pPr>
    <w:r w:rsidDel="00000000" w:rsidR="00000000" w:rsidRPr="00000000">
      <w:rPr>
        <w:rtl w:val="0"/>
      </w:rPr>
      <w:tab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>
        <w:rFonts w:ascii="Calibri" w:cs="Calibri" w:eastAsia="Calibri" w:hAnsi="Calibri"/>
      </w:rPr>
      <w:drawing>
        <wp:inline distB="114300" distT="114300" distL="114300" distR="114300">
          <wp:extent cx="2257425" cy="923925"/>
          <wp:effectExtent b="0" l="0" r="0" t="0"/>
          <wp:docPr id="3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57425" cy="923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MYs8tE64FVGNG1Fw7EpGuNg7ig==">CgMxLjA4AHIhMUtfU2RQb2Y4dlV1TTFOZjN0ZlpwN2hpRzhybW5wMTN2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